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51898" w14:textId="77777777" w:rsidR="00C87D43" w:rsidRDefault="00C87D43" w:rsidP="00C87D43">
      <w:pPr>
        <w:pStyle w:val="BodyText"/>
        <w:spacing w:before="0"/>
        <w:rPr>
          <w:rFonts w:ascii="Times New Roman"/>
          <w:sz w:val="20"/>
        </w:rPr>
      </w:pPr>
      <w:r>
        <w:rPr>
          <w:rFonts w:ascii="Times New Roman"/>
          <w:noProof/>
          <w:sz w:val="20"/>
        </w:rPr>
        <w:drawing>
          <wp:inline distT="0" distB="0" distL="0" distR="0" wp14:anchorId="1A0FAB47" wp14:editId="662A7F8F">
            <wp:extent cx="1651529" cy="495585"/>
            <wp:effectExtent l="0" t="0" r="0" b="0"/>
            <wp:docPr id="2" name="Image 2" descr="Trent University'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Trent University's logo."/>
                    <pic:cNvPicPr/>
                  </pic:nvPicPr>
                  <pic:blipFill>
                    <a:blip r:embed="rId7" cstate="print"/>
                    <a:stretch>
                      <a:fillRect/>
                    </a:stretch>
                  </pic:blipFill>
                  <pic:spPr>
                    <a:xfrm>
                      <a:off x="0" y="0"/>
                      <a:ext cx="1651529" cy="495585"/>
                    </a:xfrm>
                    <a:prstGeom prst="rect">
                      <a:avLst/>
                    </a:prstGeom>
                  </pic:spPr>
                </pic:pic>
              </a:graphicData>
            </a:graphic>
          </wp:inline>
        </w:drawing>
      </w:r>
    </w:p>
    <w:p w14:paraId="19AD541D" w14:textId="77777777" w:rsidR="00C87D43" w:rsidRDefault="00C87D43" w:rsidP="00C87D43">
      <w:pPr>
        <w:pStyle w:val="Title"/>
      </w:pPr>
      <w:r>
        <w:rPr>
          <w:color w:val="212121"/>
        </w:rPr>
        <w:t>Free</w:t>
      </w:r>
      <w:r>
        <w:rPr>
          <w:color w:val="212121"/>
          <w:spacing w:val="-14"/>
        </w:rPr>
        <w:t xml:space="preserve"> </w:t>
      </w:r>
      <w:r>
        <w:rPr>
          <w:color w:val="212121"/>
        </w:rPr>
        <w:t>Speech</w:t>
      </w:r>
      <w:r>
        <w:rPr>
          <w:color w:val="212121"/>
          <w:spacing w:val="-14"/>
        </w:rPr>
        <w:t xml:space="preserve"> </w:t>
      </w:r>
      <w:r>
        <w:rPr>
          <w:color w:val="212121"/>
          <w:spacing w:val="-2"/>
        </w:rPr>
        <w:t>Policy</w:t>
      </w:r>
    </w:p>
    <w:p w14:paraId="2980AEA9" w14:textId="77777777" w:rsidR="00C87D43" w:rsidRDefault="00C87D43" w:rsidP="00C87D43">
      <w:pPr>
        <w:spacing w:before="94"/>
        <w:ind w:left="119"/>
        <w:rPr>
          <w:sz w:val="24"/>
        </w:rPr>
      </w:pPr>
      <w:r>
        <w:rPr>
          <w:b/>
          <w:color w:val="212121"/>
          <w:sz w:val="24"/>
        </w:rPr>
        <w:t>Category:</w:t>
      </w:r>
      <w:r>
        <w:rPr>
          <w:b/>
          <w:color w:val="212121"/>
          <w:spacing w:val="-2"/>
          <w:sz w:val="24"/>
        </w:rPr>
        <w:t xml:space="preserve"> </w:t>
      </w:r>
      <w:r>
        <w:rPr>
          <w:color w:val="212121"/>
          <w:spacing w:val="-2"/>
          <w:sz w:val="24"/>
        </w:rPr>
        <w:t>Operations</w:t>
      </w:r>
    </w:p>
    <w:p w14:paraId="48B93FDE" w14:textId="77777777" w:rsidR="00C87D43" w:rsidRDefault="00C87D43" w:rsidP="00C87D43">
      <w:pPr>
        <w:spacing w:before="37" w:line="271" w:lineRule="auto"/>
        <w:ind w:left="119" w:right="6319"/>
        <w:rPr>
          <w:color w:val="212121"/>
          <w:sz w:val="24"/>
        </w:rPr>
      </w:pPr>
      <w:r>
        <w:rPr>
          <w:b/>
          <w:color w:val="212121"/>
          <w:sz w:val="24"/>
        </w:rPr>
        <w:t xml:space="preserve">Approval: </w:t>
      </w:r>
      <w:r>
        <w:rPr>
          <w:color w:val="212121"/>
          <w:sz w:val="24"/>
        </w:rPr>
        <w:t xml:space="preserve">Board of Governors </w:t>
      </w:r>
      <w:r>
        <w:rPr>
          <w:b/>
          <w:color w:val="212121"/>
          <w:sz w:val="24"/>
        </w:rPr>
        <w:t>Responsibility:</w:t>
      </w:r>
      <w:r>
        <w:rPr>
          <w:b/>
          <w:color w:val="212121"/>
          <w:spacing w:val="-7"/>
          <w:sz w:val="24"/>
        </w:rPr>
        <w:t xml:space="preserve"> </w:t>
      </w:r>
      <w:r>
        <w:rPr>
          <w:color w:val="212121"/>
          <w:sz w:val="24"/>
        </w:rPr>
        <w:t>President’s</w:t>
      </w:r>
      <w:r>
        <w:rPr>
          <w:color w:val="212121"/>
          <w:spacing w:val="-5"/>
          <w:sz w:val="24"/>
        </w:rPr>
        <w:t xml:space="preserve"> </w:t>
      </w:r>
      <w:r>
        <w:rPr>
          <w:color w:val="212121"/>
          <w:sz w:val="24"/>
        </w:rPr>
        <w:t xml:space="preserve">Office </w:t>
      </w:r>
      <w:bookmarkStart w:id="0" w:name="Policy_Statement"/>
      <w:bookmarkEnd w:id="0"/>
    </w:p>
    <w:p w14:paraId="05D40384" w14:textId="504FD01E" w:rsidR="00C87D43" w:rsidRDefault="00C87D43" w:rsidP="0082109E">
      <w:pPr>
        <w:spacing w:before="37" w:line="271" w:lineRule="auto"/>
        <w:ind w:left="119" w:right="1797"/>
        <w:rPr>
          <w:sz w:val="24"/>
        </w:rPr>
      </w:pPr>
      <w:r>
        <w:rPr>
          <w:b/>
          <w:color w:val="212121"/>
          <w:sz w:val="24"/>
        </w:rPr>
        <w:t xml:space="preserve">Date: </w:t>
      </w:r>
      <w:r>
        <w:rPr>
          <w:color w:val="212121"/>
          <w:sz w:val="24"/>
        </w:rPr>
        <w:t xml:space="preserve">November 30, 2018 (Revised on: </w:t>
      </w:r>
      <w:r w:rsidR="0082109E">
        <w:rPr>
          <w:color w:val="212121"/>
          <w:sz w:val="24"/>
        </w:rPr>
        <w:t>February 7</w:t>
      </w:r>
      <w:r>
        <w:rPr>
          <w:color w:val="212121"/>
          <w:sz w:val="24"/>
        </w:rPr>
        <w:t>, 202</w:t>
      </w:r>
      <w:r w:rsidR="0082109E">
        <w:rPr>
          <w:color w:val="212121"/>
          <w:sz w:val="24"/>
        </w:rPr>
        <w:t>5 (tentative)</w:t>
      </w:r>
    </w:p>
    <w:p w14:paraId="15CCD740" w14:textId="77777777" w:rsidR="00C87D43" w:rsidRDefault="00C87D43" w:rsidP="00C87D43">
      <w:r>
        <w:t xml:space="preserve"> </w:t>
      </w:r>
    </w:p>
    <w:p w14:paraId="1D132C12" w14:textId="5A93C973" w:rsidR="00C87D43" w:rsidRPr="00C87D43" w:rsidRDefault="00C87D43" w:rsidP="00C87D43">
      <w:pPr>
        <w:rPr>
          <w:b/>
          <w:bCs/>
          <w:sz w:val="24"/>
          <w:szCs w:val="24"/>
          <w:u w:val="single"/>
        </w:rPr>
      </w:pPr>
      <w:r>
        <w:rPr>
          <w:sz w:val="24"/>
          <w:szCs w:val="24"/>
        </w:rPr>
        <w:t xml:space="preserve">  </w:t>
      </w:r>
      <w:r w:rsidRPr="00C87D43">
        <w:rPr>
          <w:b/>
          <w:bCs/>
          <w:sz w:val="24"/>
          <w:szCs w:val="24"/>
          <w:u w:val="single"/>
        </w:rPr>
        <w:t>Purpose:</w:t>
      </w:r>
    </w:p>
    <w:p w14:paraId="081987B7" w14:textId="487A05C7" w:rsidR="00C87D43" w:rsidRPr="005251AF" w:rsidRDefault="00C87D43" w:rsidP="00C87D43">
      <w:pPr>
        <w:pStyle w:val="BodyText"/>
        <w:spacing w:before="30" w:line="259" w:lineRule="auto"/>
        <w:ind w:right="139"/>
      </w:pPr>
      <w:r w:rsidRPr="005251AF">
        <w:t xml:space="preserve">Trent University (“Trent” or the “University”) is committed to the principle of freedom of expression, which includes freedom of speech and means the ability to examine, question, critique, investigate, </w:t>
      </w:r>
      <w:r>
        <w:t>i</w:t>
      </w:r>
      <w:r w:rsidRPr="005251AF">
        <w:t>nquire, speculate and communicate on issues and society at large without deference to prescribed doctrine.</w:t>
      </w:r>
    </w:p>
    <w:p w14:paraId="36FAA433" w14:textId="77777777" w:rsidR="00C87D43" w:rsidRDefault="00C87D43" w:rsidP="00C87D43">
      <w:pPr>
        <w:pStyle w:val="BodyText"/>
        <w:spacing w:line="259" w:lineRule="auto"/>
        <w:ind w:right="65"/>
        <w:rPr>
          <w:spacing w:val="-4"/>
        </w:rPr>
      </w:pPr>
      <w:r w:rsidRPr="005251AF">
        <w:t>The purpose of the Free Speech Policy is to ensure that m</w:t>
      </w:r>
      <w:r w:rsidRPr="005251AF">
        <w:rPr>
          <w:spacing w:val="-4"/>
        </w:rPr>
        <w:t>embers of the Trent University community should be able to work, live, teach and learn in an environment free from discrimination, harassment and violence.</w:t>
      </w:r>
    </w:p>
    <w:p w14:paraId="56783033" w14:textId="18401126" w:rsidR="00C87D43" w:rsidRDefault="00C87D43" w:rsidP="00DE372B">
      <w:pPr>
        <w:pStyle w:val="BodyText"/>
        <w:spacing w:line="259" w:lineRule="auto"/>
        <w:ind w:right="65"/>
        <w:rPr>
          <w:b/>
          <w:bCs/>
          <w:u w:val="single"/>
        </w:rPr>
      </w:pPr>
      <w:r w:rsidRPr="005251AF">
        <w:rPr>
          <w:spacing w:val="-4"/>
        </w:rPr>
        <w:t xml:space="preserve"> </w:t>
      </w:r>
      <w:r>
        <w:rPr>
          <w:b/>
          <w:bCs/>
          <w:u w:val="single"/>
        </w:rPr>
        <w:t xml:space="preserve">Scope: </w:t>
      </w:r>
    </w:p>
    <w:p w14:paraId="5BDE019F" w14:textId="77777777" w:rsidR="00C87D43" w:rsidRPr="00C3498A" w:rsidRDefault="00C87D43" w:rsidP="00C87D43">
      <w:pPr>
        <w:pStyle w:val="BodyText"/>
        <w:spacing w:before="0" w:line="259" w:lineRule="auto"/>
        <w:ind w:right="65"/>
        <w:rPr>
          <w:lang w:val="en-GB"/>
        </w:rPr>
      </w:pPr>
      <w:r w:rsidRPr="00C3498A">
        <w:rPr>
          <w:lang w:val="en-GB"/>
        </w:rPr>
        <w:t>This Policy applies to all members of the Trent University community including:</w:t>
      </w:r>
    </w:p>
    <w:p w14:paraId="6EF11C95" w14:textId="77777777" w:rsidR="00C87D43" w:rsidRPr="00C3498A" w:rsidRDefault="00C87D43" w:rsidP="00C87D43">
      <w:pPr>
        <w:pStyle w:val="BodyText"/>
        <w:numPr>
          <w:ilvl w:val="0"/>
          <w:numId w:val="3"/>
        </w:numPr>
        <w:spacing w:before="0" w:line="259" w:lineRule="auto"/>
        <w:ind w:right="65"/>
        <w:rPr>
          <w:lang w:val="en-GB"/>
        </w:rPr>
      </w:pPr>
      <w:r w:rsidRPr="00C3498A">
        <w:rPr>
          <w:lang w:val="en-GB"/>
        </w:rPr>
        <w:t>Employees (full-time, part-time, sessional, contract, temporary, casual and otherwise</w:t>
      </w:r>
      <w:proofErr w:type="gramStart"/>
      <w:r w:rsidRPr="00C3498A">
        <w:rPr>
          <w:lang w:val="en-GB"/>
        </w:rPr>
        <w:t>);</w:t>
      </w:r>
      <w:proofErr w:type="gramEnd"/>
    </w:p>
    <w:p w14:paraId="32E26895" w14:textId="77777777" w:rsidR="00C87D43" w:rsidRPr="00C3498A" w:rsidRDefault="00C87D43" w:rsidP="00C87D43">
      <w:pPr>
        <w:pStyle w:val="BodyText"/>
        <w:numPr>
          <w:ilvl w:val="0"/>
          <w:numId w:val="3"/>
        </w:numPr>
        <w:spacing w:before="0" w:line="259" w:lineRule="auto"/>
        <w:ind w:right="65"/>
        <w:rPr>
          <w:lang w:val="en-GB"/>
        </w:rPr>
      </w:pPr>
      <w:r w:rsidRPr="00C3498A">
        <w:rPr>
          <w:lang w:val="en-GB"/>
        </w:rPr>
        <w:t>Students (full-time and part-time</w:t>
      </w:r>
      <w:proofErr w:type="gramStart"/>
      <w:r w:rsidRPr="00C3498A">
        <w:rPr>
          <w:lang w:val="en-GB"/>
        </w:rPr>
        <w:t>);</w:t>
      </w:r>
      <w:proofErr w:type="gramEnd"/>
    </w:p>
    <w:p w14:paraId="32D2D7B3" w14:textId="77777777" w:rsidR="00C87D43" w:rsidRPr="00C3498A" w:rsidRDefault="00C87D43" w:rsidP="00C87D43">
      <w:pPr>
        <w:pStyle w:val="BodyText"/>
        <w:numPr>
          <w:ilvl w:val="0"/>
          <w:numId w:val="3"/>
        </w:numPr>
        <w:spacing w:before="0" w:line="259" w:lineRule="auto"/>
        <w:ind w:right="65"/>
        <w:rPr>
          <w:lang w:val="en-GB"/>
        </w:rPr>
      </w:pPr>
      <w:r w:rsidRPr="00C3498A">
        <w:rPr>
          <w:lang w:val="en-GB"/>
        </w:rPr>
        <w:t xml:space="preserve">Members of the Board of Governors, and its advisory and ad hoc </w:t>
      </w:r>
      <w:proofErr w:type="gramStart"/>
      <w:r w:rsidRPr="00C3498A">
        <w:rPr>
          <w:lang w:val="en-GB"/>
        </w:rPr>
        <w:t>committees;</w:t>
      </w:r>
      <w:proofErr w:type="gramEnd"/>
    </w:p>
    <w:p w14:paraId="5DA9B103" w14:textId="77777777" w:rsidR="00C87D43" w:rsidRPr="00C3498A" w:rsidRDefault="00C87D43" w:rsidP="00C87D43">
      <w:pPr>
        <w:pStyle w:val="BodyText"/>
        <w:numPr>
          <w:ilvl w:val="0"/>
          <w:numId w:val="3"/>
        </w:numPr>
        <w:spacing w:before="0" w:line="259" w:lineRule="auto"/>
        <w:ind w:right="65"/>
        <w:rPr>
          <w:lang w:val="en-GB"/>
        </w:rPr>
      </w:pPr>
      <w:r w:rsidRPr="00C3498A">
        <w:rPr>
          <w:lang w:val="en-GB"/>
        </w:rPr>
        <w:t xml:space="preserve">Volunteers, coaches, interns and contractors who provide products, services or research, while on </w:t>
      </w:r>
      <w:proofErr w:type="gramStart"/>
      <w:r w:rsidRPr="00C3498A">
        <w:rPr>
          <w:lang w:val="en-GB"/>
        </w:rPr>
        <w:t>campus;</w:t>
      </w:r>
      <w:proofErr w:type="gramEnd"/>
    </w:p>
    <w:p w14:paraId="51F8A8C4" w14:textId="77777777" w:rsidR="00C87D43" w:rsidRPr="00C3498A" w:rsidRDefault="00C87D43" w:rsidP="00C87D43">
      <w:pPr>
        <w:pStyle w:val="BodyText"/>
        <w:numPr>
          <w:ilvl w:val="0"/>
          <w:numId w:val="3"/>
        </w:numPr>
        <w:spacing w:before="0" w:line="259" w:lineRule="auto"/>
        <w:ind w:right="65"/>
        <w:rPr>
          <w:lang w:val="en-GB"/>
        </w:rPr>
      </w:pPr>
      <w:r w:rsidRPr="00C3498A">
        <w:rPr>
          <w:lang w:val="en-GB"/>
        </w:rPr>
        <w:t>Individuals who are located on campus while employed by another organization (e.g., employees of faculty/employee/student unions).</w:t>
      </w:r>
    </w:p>
    <w:p w14:paraId="70C954CA" w14:textId="69286D17" w:rsidR="00C87D43" w:rsidRPr="00DE372B" w:rsidRDefault="00C87D43" w:rsidP="00DE372B">
      <w:pPr>
        <w:pStyle w:val="BodyText"/>
        <w:numPr>
          <w:ilvl w:val="0"/>
          <w:numId w:val="3"/>
        </w:numPr>
        <w:spacing w:before="0" w:after="240" w:line="259" w:lineRule="auto"/>
        <w:ind w:right="65"/>
        <w:rPr>
          <w:lang w:val="en-GB"/>
        </w:rPr>
      </w:pPr>
      <w:r w:rsidRPr="00C3498A">
        <w:rPr>
          <w:lang w:val="en-GB"/>
        </w:rPr>
        <w:t>Visitors, including guest speakers.</w:t>
      </w:r>
    </w:p>
    <w:p w14:paraId="375F4F11" w14:textId="2F29C723" w:rsidR="00C87D43" w:rsidRPr="00C87D43" w:rsidRDefault="00C87D43" w:rsidP="00C87D43">
      <w:pPr>
        <w:pStyle w:val="BodyText"/>
        <w:spacing w:before="0" w:line="259" w:lineRule="auto"/>
        <w:ind w:left="119" w:right="65"/>
        <w:rPr>
          <w:b/>
          <w:bCs/>
          <w:u w:val="single"/>
        </w:rPr>
      </w:pPr>
      <w:r w:rsidRPr="00C87D43">
        <w:rPr>
          <w:b/>
          <w:bCs/>
          <w:u w:val="single"/>
        </w:rPr>
        <w:t>Policy Statement:</w:t>
      </w:r>
    </w:p>
    <w:p w14:paraId="5E68FDD0" w14:textId="77777777" w:rsidR="00C87D43" w:rsidRDefault="00C87D43" w:rsidP="00C87D43">
      <w:pPr>
        <w:pStyle w:val="BodyText"/>
        <w:spacing w:before="0" w:line="259" w:lineRule="auto"/>
        <w:ind w:left="119" w:right="101"/>
      </w:pPr>
      <w:r>
        <w:t>As</w:t>
      </w:r>
      <w:r>
        <w:rPr>
          <w:spacing w:val="-2"/>
        </w:rPr>
        <w:t xml:space="preserve"> </w:t>
      </w:r>
      <w:r>
        <w:t>a</w:t>
      </w:r>
      <w:r>
        <w:rPr>
          <w:spacing w:val="-1"/>
        </w:rPr>
        <w:t xml:space="preserve"> </w:t>
      </w:r>
      <w:r>
        <w:t>University,</w:t>
      </w:r>
      <w:r>
        <w:rPr>
          <w:spacing w:val="-2"/>
        </w:rPr>
        <w:t xml:space="preserve"> </w:t>
      </w:r>
      <w:r>
        <w:t>Trent is</w:t>
      </w:r>
      <w:r>
        <w:rPr>
          <w:spacing w:val="-2"/>
        </w:rPr>
        <w:t xml:space="preserve"> </w:t>
      </w:r>
      <w:r>
        <w:t>committed</w:t>
      </w:r>
      <w:r>
        <w:rPr>
          <w:spacing w:val="-3"/>
        </w:rPr>
        <w:t xml:space="preserve"> </w:t>
      </w:r>
      <w:r>
        <w:t>to</w:t>
      </w:r>
      <w:r>
        <w:rPr>
          <w:spacing w:val="-3"/>
        </w:rPr>
        <w:t xml:space="preserve"> </w:t>
      </w:r>
      <w:r>
        <w:t>an</w:t>
      </w:r>
      <w:r>
        <w:rPr>
          <w:spacing w:val="-3"/>
        </w:rPr>
        <w:t xml:space="preserve"> </w:t>
      </w:r>
      <w:r>
        <w:t>environment</w:t>
      </w:r>
      <w:r>
        <w:rPr>
          <w:spacing w:val="-3"/>
        </w:rPr>
        <w:t xml:space="preserve"> </w:t>
      </w:r>
      <w:r>
        <w:t>that</w:t>
      </w:r>
      <w:r>
        <w:rPr>
          <w:spacing w:val="-3"/>
        </w:rPr>
        <w:t xml:space="preserve"> </w:t>
      </w:r>
      <w:r>
        <w:t>embraces</w:t>
      </w:r>
      <w:r>
        <w:rPr>
          <w:spacing w:val="-2"/>
        </w:rPr>
        <w:t xml:space="preserve"> </w:t>
      </w:r>
      <w:r>
        <w:t>viewpoint</w:t>
      </w:r>
      <w:r>
        <w:rPr>
          <w:spacing w:val="-3"/>
        </w:rPr>
        <w:t xml:space="preserve"> </w:t>
      </w:r>
      <w:r>
        <w:t>diversity.</w:t>
      </w:r>
      <w:r>
        <w:rPr>
          <w:spacing w:val="-2"/>
        </w:rPr>
        <w:t xml:space="preserve"> </w:t>
      </w:r>
      <w:r>
        <w:t>It aims</w:t>
      </w:r>
      <w:r>
        <w:rPr>
          <w:spacing w:val="-4"/>
        </w:rPr>
        <w:t xml:space="preserve"> </w:t>
      </w:r>
      <w:r>
        <w:t>to support its students, faculty, and staff to achieve their full potential by facilitating the expression of their diverse perspectives. The right</w:t>
      </w:r>
      <w:r>
        <w:rPr>
          <w:spacing w:val="-2"/>
        </w:rPr>
        <w:t xml:space="preserve"> </w:t>
      </w:r>
      <w:r>
        <w:t>to</w:t>
      </w:r>
      <w:r>
        <w:rPr>
          <w:spacing w:val="-2"/>
        </w:rPr>
        <w:t xml:space="preserve"> </w:t>
      </w:r>
      <w:r>
        <w:t>free</w:t>
      </w:r>
      <w:r>
        <w:rPr>
          <w:spacing w:val="-2"/>
        </w:rPr>
        <w:t xml:space="preserve"> </w:t>
      </w:r>
      <w:r>
        <w:t>expression</w:t>
      </w:r>
      <w:r>
        <w:rPr>
          <w:spacing w:val="-2"/>
        </w:rPr>
        <w:t xml:space="preserve"> </w:t>
      </w:r>
      <w:r>
        <w:t xml:space="preserve">is a necessary precondition for the University to accomplish its essential purpose: the pursuit and dissemination of knowledge, the testing of new ideas and the advancement of learning. Members of the Trent University community are free to criticize and debate. </w:t>
      </w:r>
      <w:r w:rsidRPr="00591346">
        <w:t>Trent University</w:t>
      </w:r>
      <w:r>
        <w:t xml:space="preserve"> does not attempt to insulate its students, faculty or staff from ideas or opinions that they might disagree with or find offensive. However, their right to free speech</w:t>
      </w:r>
      <w:r>
        <w:rPr>
          <w:spacing w:val="-2"/>
        </w:rPr>
        <w:t xml:space="preserve"> </w:t>
      </w:r>
      <w:r>
        <w:t>does</w:t>
      </w:r>
      <w:r>
        <w:rPr>
          <w:spacing w:val="-3"/>
        </w:rPr>
        <w:t xml:space="preserve"> </w:t>
      </w:r>
      <w:r>
        <w:t>not</w:t>
      </w:r>
      <w:r>
        <w:rPr>
          <w:spacing w:val="-2"/>
        </w:rPr>
        <w:t xml:space="preserve"> </w:t>
      </w:r>
      <w:r>
        <w:t>include</w:t>
      </w:r>
      <w:r>
        <w:rPr>
          <w:spacing w:val="-2"/>
        </w:rPr>
        <w:t xml:space="preserve"> </w:t>
      </w:r>
      <w:r>
        <w:t>the right</w:t>
      </w:r>
      <w:r>
        <w:rPr>
          <w:spacing w:val="-2"/>
        </w:rPr>
        <w:t xml:space="preserve"> </w:t>
      </w:r>
      <w:r>
        <w:t>to</w:t>
      </w:r>
      <w:r>
        <w:rPr>
          <w:spacing w:val="-2"/>
        </w:rPr>
        <w:t xml:space="preserve"> engage in unlawful debate, assemblies and demonstrations that are in contravention of University policies or regulations, or federal, </w:t>
      </w:r>
      <w:r>
        <w:rPr>
          <w:spacing w:val="-2"/>
        </w:rPr>
        <w:lastRenderedPageBreak/>
        <w:t xml:space="preserve">provincial or municipal legislation. </w:t>
      </w:r>
    </w:p>
    <w:p w14:paraId="7CDE0F11" w14:textId="77777777" w:rsidR="00C87D43" w:rsidRDefault="00C87D43" w:rsidP="00C87D43">
      <w:pPr>
        <w:pStyle w:val="BodyText"/>
        <w:spacing w:before="160" w:line="259" w:lineRule="auto"/>
        <w:ind w:left="119"/>
        <w:rPr>
          <w:spacing w:val="-2"/>
        </w:rPr>
      </w:pPr>
      <w:r>
        <w:t>The right to free speech does impose accompanying responsibilities. Such responsibilities include but are not limited to respecting</w:t>
      </w:r>
      <w:r>
        <w:rPr>
          <w:spacing w:val="-3"/>
        </w:rPr>
        <w:t xml:space="preserve"> all members of the Trent University community; respecting University policies or regulations; respecting </w:t>
      </w:r>
      <w:r>
        <w:t>privacy</w:t>
      </w:r>
      <w:r>
        <w:rPr>
          <w:spacing w:val="-3"/>
        </w:rPr>
        <w:t xml:space="preserve"> </w:t>
      </w:r>
      <w:r>
        <w:t>and</w:t>
      </w:r>
      <w:r>
        <w:rPr>
          <w:spacing w:val="-4"/>
        </w:rPr>
        <w:t xml:space="preserve"> </w:t>
      </w:r>
      <w:r>
        <w:t>confidentiality</w:t>
      </w:r>
      <w:r>
        <w:rPr>
          <w:spacing w:val="-3"/>
        </w:rPr>
        <w:t xml:space="preserve"> </w:t>
      </w:r>
      <w:r>
        <w:t>as</w:t>
      </w:r>
      <w:r>
        <w:rPr>
          <w:spacing w:val="-3"/>
        </w:rPr>
        <w:t xml:space="preserve"> </w:t>
      </w:r>
      <w:r>
        <w:t>required</w:t>
      </w:r>
      <w:r>
        <w:rPr>
          <w:spacing w:val="-1"/>
        </w:rPr>
        <w:t xml:space="preserve"> </w:t>
      </w:r>
      <w:r>
        <w:t>by</w:t>
      </w:r>
      <w:r>
        <w:rPr>
          <w:spacing w:val="-5"/>
        </w:rPr>
        <w:t xml:space="preserve"> </w:t>
      </w:r>
      <w:r>
        <w:t>the</w:t>
      </w:r>
      <w:r>
        <w:rPr>
          <w:spacing w:val="-2"/>
        </w:rPr>
        <w:t xml:space="preserve"> </w:t>
      </w:r>
      <w:r>
        <w:t>law</w:t>
      </w:r>
      <w:r>
        <w:rPr>
          <w:spacing w:val="-4"/>
        </w:rPr>
        <w:t xml:space="preserve"> </w:t>
      </w:r>
      <w:r>
        <w:t>and</w:t>
      </w:r>
      <w:r>
        <w:rPr>
          <w:spacing w:val="-1"/>
        </w:rPr>
        <w:t xml:space="preserve"> </w:t>
      </w:r>
      <w:r>
        <w:t>University</w:t>
      </w:r>
      <w:r>
        <w:rPr>
          <w:spacing w:val="-3"/>
        </w:rPr>
        <w:t xml:space="preserve"> </w:t>
      </w:r>
      <w:r>
        <w:t xml:space="preserve">operations; and a commitment to adhere to professional </w:t>
      </w:r>
      <w:r>
        <w:rPr>
          <w:spacing w:val="-2"/>
        </w:rPr>
        <w:t>standards.</w:t>
      </w:r>
    </w:p>
    <w:p w14:paraId="6DF4FEB4" w14:textId="77777777" w:rsidR="00C87D43" w:rsidRPr="00A55730" w:rsidRDefault="00C87D43" w:rsidP="00C87D43">
      <w:pPr>
        <w:pStyle w:val="BodyText"/>
        <w:spacing w:line="259" w:lineRule="auto"/>
        <w:ind w:left="119" w:right="101"/>
        <w:rPr>
          <w:lang w:val="en-CA"/>
        </w:rPr>
      </w:pPr>
      <w:r w:rsidRPr="00D543DA">
        <w:t xml:space="preserve">Members of the Trent </w:t>
      </w:r>
      <w:r w:rsidRPr="00D543DA">
        <w:rPr>
          <w:lang w:val="en-CA"/>
        </w:rPr>
        <w:t>University community also are free to engage in peaceful assemblies and demonstrations, and to make reasonable use of University facilities, subject to Trent University policies and regulations. However, the right to free speech does not include the right to engage in unlawful debate, assemblies and demonstrations that are in contravention of University policies or regulations, or federal, provincial or municipal legislation.</w:t>
      </w:r>
      <w:r>
        <w:rPr>
          <w:lang w:val="en-CA"/>
        </w:rPr>
        <w:t xml:space="preserve"> </w:t>
      </w:r>
    </w:p>
    <w:p w14:paraId="21A25609" w14:textId="6BCB674A" w:rsidR="0082109E" w:rsidRDefault="00C87D43" w:rsidP="00DE372B">
      <w:pPr>
        <w:pStyle w:val="BodyText"/>
        <w:spacing w:before="160" w:after="240" w:line="259" w:lineRule="auto"/>
        <w:ind w:right="101"/>
      </w:pPr>
      <w:r>
        <w:t>This Policy does not excuse hate speech, defamation, slander, or actions or speaking which is not compliant</w:t>
      </w:r>
      <w:r>
        <w:rPr>
          <w:spacing w:val="-1"/>
        </w:rPr>
        <w:t xml:space="preserve"> </w:t>
      </w:r>
      <w:r>
        <w:t>with</w:t>
      </w:r>
      <w:r>
        <w:rPr>
          <w:spacing w:val="-1"/>
        </w:rPr>
        <w:t xml:space="preserve"> </w:t>
      </w:r>
      <w:r>
        <w:t>the</w:t>
      </w:r>
      <w:r>
        <w:rPr>
          <w:spacing w:val="-4"/>
        </w:rPr>
        <w:t xml:space="preserve"> </w:t>
      </w:r>
      <w:r>
        <w:t>Human</w:t>
      </w:r>
      <w:r>
        <w:rPr>
          <w:spacing w:val="-1"/>
        </w:rPr>
        <w:t xml:space="preserve"> </w:t>
      </w:r>
      <w:r>
        <w:t>Rights</w:t>
      </w:r>
      <w:r>
        <w:rPr>
          <w:spacing w:val="-3"/>
        </w:rPr>
        <w:t xml:space="preserve"> </w:t>
      </w:r>
      <w:r>
        <w:t>Code;</w:t>
      </w:r>
      <w:r>
        <w:rPr>
          <w:spacing w:val="-4"/>
        </w:rPr>
        <w:t xml:space="preserve"> </w:t>
      </w:r>
      <w:r>
        <w:t>the</w:t>
      </w:r>
      <w:r>
        <w:rPr>
          <w:spacing w:val="-4"/>
        </w:rPr>
        <w:t xml:space="preserve"> </w:t>
      </w:r>
      <w:r>
        <w:t>Criminal</w:t>
      </w:r>
      <w:r>
        <w:rPr>
          <w:spacing w:val="-2"/>
        </w:rPr>
        <w:t xml:space="preserve"> </w:t>
      </w:r>
      <w:r>
        <w:t>Code</w:t>
      </w:r>
      <w:r>
        <w:rPr>
          <w:spacing w:val="-2"/>
        </w:rPr>
        <w:t xml:space="preserve"> </w:t>
      </w:r>
      <w:r>
        <w:t>of</w:t>
      </w:r>
      <w:r>
        <w:rPr>
          <w:spacing w:val="-1"/>
        </w:rPr>
        <w:t xml:space="preserve"> </w:t>
      </w:r>
      <w:r>
        <w:t>Canada;</w:t>
      </w:r>
      <w:r>
        <w:rPr>
          <w:spacing w:val="-4"/>
        </w:rPr>
        <w:t xml:space="preserve"> </w:t>
      </w:r>
      <w:r>
        <w:t>provincial</w:t>
      </w:r>
      <w:r>
        <w:rPr>
          <w:spacing w:val="-2"/>
        </w:rPr>
        <w:t xml:space="preserve"> </w:t>
      </w:r>
      <w:r>
        <w:t>regulations</w:t>
      </w:r>
      <w:r>
        <w:rPr>
          <w:spacing w:val="-3"/>
        </w:rPr>
        <w:t xml:space="preserve"> </w:t>
      </w:r>
      <w:r>
        <w:t>and</w:t>
      </w:r>
      <w:r>
        <w:rPr>
          <w:spacing w:val="-4"/>
        </w:rPr>
        <w:t xml:space="preserve"> </w:t>
      </w:r>
      <w:r>
        <w:t>Trent University’s Violence and Harassment policy. Trent reserves the right to deny access or remove persons who act in ways that compromise others’ rights to safety and security. The University may reasonably regulate the time, place and manner of expression to ensure that it does not disrupt the ordinary activities of the University.</w:t>
      </w:r>
    </w:p>
    <w:p w14:paraId="65F32BBC" w14:textId="77777777" w:rsidR="00C87D43" w:rsidRPr="00A55730" w:rsidRDefault="00C87D43" w:rsidP="00C87D43">
      <w:pPr>
        <w:pStyle w:val="BodyText"/>
        <w:spacing w:before="0" w:line="256" w:lineRule="auto"/>
        <w:ind w:right="139"/>
        <w:rPr>
          <w:b/>
          <w:bCs/>
          <w:u w:val="single"/>
        </w:rPr>
      </w:pPr>
      <w:r w:rsidRPr="00A55730">
        <w:rPr>
          <w:b/>
          <w:bCs/>
          <w:u w:val="single"/>
        </w:rPr>
        <w:t>Intersection of Policies</w:t>
      </w:r>
    </w:p>
    <w:p w14:paraId="38A2B4B7" w14:textId="76C6C9BB" w:rsidR="00C87D43" w:rsidRPr="00C87D43" w:rsidRDefault="00C87D43" w:rsidP="00C87D43">
      <w:pPr>
        <w:pStyle w:val="BodyText"/>
        <w:spacing w:before="0" w:line="259" w:lineRule="auto"/>
        <w:rPr>
          <w:lang w:val="en-GB"/>
        </w:rPr>
      </w:pPr>
      <w:r w:rsidRPr="00BF0E96">
        <w:rPr>
          <w:lang w:val="en-GB"/>
        </w:rPr>
        <w:t xml:space="preserve">Academic freedom is a fundamental tenet of </w:t>
      </w:r>
      <w:r>
        <w:rPr>
          <w:lang w:val="en-GB"/>
        </w:rPr>
        <w:t xml:space="preserve">the </w:t>
      </w:r>
      <w:r w:rsidRPr="00BF0E96">
        <w:rPr>
          <w:lang w:val="en-GB"/>
        </w:rPr>
        <w:t xml:space="preserve">University life and is a condition of employment expressly extended to academic employee groups pursuant to the terms of their respective collective agreements. Academic freedom includes the right to question and challenge traditional norms, and the freedom to define research questions, to pursue answers to those questions by way of unrestricted but proper investigative techniques and to disseminate the knowledge gained to students, academic colleagues and </w:t>
      </w:r>
      <w:proofErr w:type="gramStart"/>
      <w:r w:rsidRPr="00BF0E96">
        <w:rPr>
          <w:lang w:val="en-GB"/>
        </w:rPr>
        <w:t>society as a whole</w:t>
      </w:r>
      <w:proofErr w:type="gramEnd"/>
      <w:r w:rsidRPr="00BF0E96">
        <w:rPr>
          <w:lang w:val="en-GB"/>
        </w:rPr>
        <w:t>. Academic freedom does not require neutrality on the part of the individual. Rather, academic freedom makes commitment possible. Academic freedom carries with it the duty to use that freedom in a manner consistent with the scholarly obligation to base research and teaching on an honest search for knowledge. The exercise of academic freedom may challenge and/or offend the ideas, sensibilities and beliefs of others. However, academic freedom does not confer immunity from the terms of this Policy.</w:t>
      </w:r>
    </w:p>
    <w:p w14:paraId="603C96F0" w14:textId="6D9FB50B" w:rsidR="00551572" w:rsidRDefault="00C87D43" w:rsidP="00551572">
      <w:pPr>
        <w:pStyle w:val="BodyText"/>
        <w:spacing w:before="187" w:line="259" w:lineRule="auto"/>
        <w:ind w:right="198"/>
      </w:pPr>
      <w:r>
        <w:t>Trent’s Student Charter of Rights and Responsibilities (Section 2: Fundamental Rights &amp; Freedoms, points 9 &amp; 11) asserts</w:t>
      </w:r>
      <w:r>
        <w:rPr>
          <w:spacing w:val="-1"/>
        </w:rPr>
        <w:t xml:space="preserve"> </w:t>
      </w:r>
      <w:r>
        <w:t>that “every student enjoys</w:t>
      </w:r>
      <w:r>
        <w:rPr>
          <w:spacing w:val="-1"/>
        </w:rPr>
        <w:t xml:space="preserve"> </w:t>
      </w:r>
      <w:r>
        <w:t>the freedoms of: 9.</w:t>
      </w:r>
      <w:r>
        <w:rPr>
          <w:spacing w:val="-2"/>
        </w:rPr>
        <w:t xml:space="preserve"> </w:t>
      </w:r>
      <w:r>
        <w:t>Opinion, expression,</w:t>
      </w:r>
      <w:r>
        <w:rPr>
          <w:spacing w:val="-1"/>
        </w:rPr>
        <w:t xml:space="preserve"> </w:t>
      </w:r>
      <w:r>
        <w:t>belief and political association” and has a responsibility to respect the rights of other members of the Trent community</w:t>
      </w:r>
      <w:r>
        <w:rPr>
          <w:spacing w:val="-2"/>
        </w:rPr>
        <w:t xml:space="preserve"> </w:t>
      </w:r>
      <w:r>
        <w:t>in</w:t>
      </w:r>
      <w:r>
        <w:rPr>
          <w:spacing w:val="-3"/>
        </w:rPr>
        <w:t xml:space="preserve"> </w:t>
      </w:r>
      <w:r>
        <w:t>this</w:t>
      </w:r>
      <w:r>
        <w:rPr>
          <w:spacing w:val="-2"/>
        </w:rPr>
        <w:t xml:space="preserve"> </w:t>
      </w:r>
      <w:r>
        <w:t>regard.</w:t>
      </w:r>
      <w:r>
        <w:rPr>
          <w:spacing w:val="-2"/>
        </w:rPr>
        <w:t xml:space="preserve"> </w:t>
      </w:r>
      <w:r>
        <w:t>Engaging</w:t>
      </w:r>
      <w:r>
        <w:rPr>
          <w:spacing w:val="-4"/>
        </w:rPr>
        <w:t xml:space="preserve"> </w:t>
      </w:r>
      <w:r>
        <w:t>in</w:t>
      </w:r>
      <w:r>
        <w:rPr>
          <w:spacing w:val="-3"/>
        </w:rPr>
        <w:t xml:space="preserve"> </w:t>
      </w:r>
      <w:r>
        <w:t>ongoing</w:t>
      </w:r>
      <w:r>
        <w:rPr>
          <w:spacing w:val="-4"/>
        </w:rPr>
        <w:t xml:space="preserve"> </w:t>
      </w:r>
      <w:r>
        <w:t>disruptive</w:t>
      </w:r>
      <w:r>
        <w:rPr>
          <w:spacing w:val="-3"/>
        </w:rPr>
        <w:t xml:space="preserve"> </w:t>
      </w:r>
      <w:r>
        <w:t>behaviour</w:t>
      </w:r>
      <w:r>
        <w:rPr>
          <w:spacing w:val="-4"/>
        </w:rPr>
        <w:t xml:space="preserve"> </w:t>
      </w:r>
      <w:r>
        <w:t>that</w:t>
      </w:r>
      <w:r>
        <w:rPr>
          <w:spacing w:val="-3"/>
        </w:rPr>
        <w:t xml:space="preserve"> </w:t>
      </w:r>
      <w:r>
        <w:t>prevents</w:t>
      </w:r>
      <w:r>
        <w:rPr>
          <w:spacing w:val="-4"/>
        </w:rPr>
        <w:t xml:space="preserve"> </w:t>
      </w:r>
      <w:r>
        <w:t xml:space="preserve">sanctioned events from proceeding may be subject to the Student Charter and be subject to the complaint resolution process and discipline therein. </w:t>
      </w:r>
    </w:p>
    <w:p w14:paraId="200898C2" w14:textId="77777777" w:rsidR="00751301" w:rsidRDefault="00751301" w:rsidP="00551572">
      <w:pPr>
        <w:pStyle w:val="BodyText"/>
        <w:spacing w:before="187" w:line="259" w:lineRule="auto"/>
        <w:ind w:right="198"/>
      </w:pPr>
    </w:p>
    <w:p w14:paraId="1C07646F" w14:textId="7E1C094F" w:rsidR="00551572" w:rsidRPr="0082109E" w:rsidRDefault="00551572" w:rsidP="00DE372B">
      <w:pPr>
        <w:pStyle w:val="BodyText"/>
        <w:spacing w:before="187" w:line="259" w:lineRule="auto"/>
        <w:ind w:left="90" w:right="198"/>
        <w:rPr>
          <w:b/>
          <w:bCs/>
          <w:spacing w:val="-1"/>
          <w:u w:val="single"/>
        </w:rPr>
      </w:pPr>
      <w:r w:rsidRPr="0082109E">
        <w:rPr>
          <w:b/>
          <w:bCs/>
          <w:spacing w:val="-1"/>
          <w:u w:val="single"/>
        </w:rPr>
        <w:lastRenderedPageBreak/>
        <w:t>Complaints</w:t>
      </w:r>
    </w:p>
    <w:p w14:paraId="3F70A06E" w14:textId="77777777" w:rsidR="00551572" w:rsidRPr="00A55730" w:rsidRDefault="00551572" w:rsidP="00DE372B">
      <w:pPr>
        <w:ind w:left="90"/>
        <w:rPr>
          <w:rFonts w:eastAsiaTheme="minorHAnsi"/>
          <w:color w:val="1A1A1A"/>
          <w:sz w:val="24"/>
          <w:szCs w:val="24"/>
        </w:rPr>
      </w:pPr>
      <w:r w:rsidRPr="00A55730">
        <w:rPr>
          <w:color w:val="1A1A1A"/>
          <w:sz w:val="24"/>
          <w:szCs w:val="24"/>
        </w:rPr>
        <w:t xml:space="preserve">The University’s Free Speech Policy applies to members of the Trent University Community. Concerns, complaints or questions can come up in many different contexts.  A complaint that raises free speech will be investigated </w:t>
      </w:r>
      <w:proofErr w:type="gramStart"/>
      <w:r w:rsidRPr="00A55730">
        <w:rPr>
          <w:color w:val="1A1A1A"/>
          <w:sz w:val="24"/>
          <w:szCs w:val="24"/>
        </w:rPr>
        <w:t>taking into account</w:t>
      </w:r>
      <w:proofErr w:type="gramEnd"/>
      <w:r w:rsidRPr="00A55730">
        <w:rPr>
          <w:color w:val="1A1A1A"/>
          <w:sz w:val="24"/>
          <w:szCs w:val="24"/>
        </w:rPr>
        <w:t xml:space="preserve"> this policy, and under the appropriate process depending on the context of the complaint.   This could include:</w:t>
      </w:r>
    </w:p>
    <w:p w14:paraId="5EC7804A" w14:textId="77777777" w:rsidR="00551572" w:rsidRPr="00A55730" w:rsidRDefault="00551572" w:rsidP="00DE372B">
      <w:pPr>
        <w:ind w:left="90"/>
        <w:rPr>
          <w:color w:val="1A1A1A"/>
          <w:sz w:val="24"/>
          <w:szCs w:val="24"/>
        </w:rPr>
      </w:pPr>
    </w:p>
    <w:p w14:paraId="2691790A" w14:textId="77777777" w:rsidR="00551572" w:rsidRPr="00A55730" w:rsidRDefault="00551572" w:rsidP="00DE372B">
      <w:pPr>
        <w:pStyle w:val="ListParagraph"/>
        <w:widowControl/>
        <w:numPr>
          <w:ilvl w:val="0"/>
          <w:numId w:val="4"/>
        </w:numPr>
        <w:autoSpaceDE/>
        <w:autoSpaceDN/>
        <w:ind w:left="540"/>
        <w:contextualSpacing w:val="0"/>
        <w:rPr>
          <w:rFonts w:eastAsia="Times New Roman"/>
          <w:color w:val="1A1A1A"/>
          <w:sz w:val="24"/>
          <w:szCs w:val="24"/>
        </w:rPr>
      </w:pPr>
      <w:r w:rsidRPr="00A55730">
        <w:rPr>
          <w:rFonts w:eastAsia="Times New Roman"/>
          <w:color w:val="1A1A1A"/>
          <w:sz w:val="24"/>
          <w:szCs w:val="24"/>
        </w:rPr>
        <w:t>An investigation under the Trent University Discrimination Policy</w:t>
      </w:r>
    </w:p>
    <w:p w14:paraId="35DD4C86" w14:textId="77777777" w:rsidR="00551572" w:rsidRPr="00A55730" w:rsidRDefault="00551572" w:rsidP="00DE372B">
      <w:pPr>
        <w:pStyle w:val="ListParagraph"/>
        <w:widowControl/>
        <w:numPr>
          <w:ilvl w:val="0"/>
          <w:numId w:val="4"/>
        </w:numPr>
        <w:autoSpaceDE/>
        <w:autoSpaceDN/>
        <w:ind w:left="540"/>
        <w:contextualSpacing w:val="0"/>
        <w:rPr>
          <w:rFonts w:eastAsia="Times New Roman"/>
          <w:color w:val="1A1A1A"/>
          <w:sz w:val="24"/>
          <w:szCs w:val="24"/>
        </w:rPr>
      </w:pPr>
      <w:r w:rsidRPr="00A55730">
        <w:rPr>
          <w:rFonts w:eastAsia="Times New Roman"/>
          <w:color w:val="1A1A1A"/>
          <w:sz w:val="24"/>
          <w:szCs w:val="24"/>
        </w:rPr>
        <w:t>An investigation under the Trent University Violence and Harassment Policy</w:t>
      </w:r>
    </w:p>
    <w:p w14:paraId="05CD8CFF" w14:textId="77777777" w:rsidR="00551572" w:rsidRPr="00A55730" w:rsidRDefault="00551572" w:rsidP="00DE372B">
      <w:pPr>
        <w:pStyle w:val="ListParagraph"/>
        <w:widowControl/>
        <w:numPr>
          <w:ilvl w:val="0"/>
          <w:numId w:val="4"/>
        </w:numPr>
        <w:autoSpaceDE/>
        <w:autoSpaceDN/>
        <w:ind w:left="540"/>
        <w:contextualSpacing w:val="0"/>
        <w:rPr>
          <w:rFonts w:eastAsia="Times New Roman"/>
          <w:color w:val="1A1A1A"/>
          <w:sz w:val="24"/>
          <w:szCs w:val="24"/>
        </w:rPr>
      </w:pPr>
      <w:r w:rsidRPr="00A55730">
        <w:rPr>
          <w:rFonts w:eastAsia="Times New Roman"/>
          <w:color w:val="1A1A1A"/>
          <w:sz w:val="24"/>
          <w:szCs w:val="24"/>
        </w:rPr>
        <w:t>A disciplinary investigation consistent with the applicable collective agreement</w:t>
      </w:r>
    </w:p>
    <w:p w14:paraId="39A6BDB9" w14:textId="77777777" w:rsidR="00551572" w:rsidRPr="00A55730" w:rsidRDefault="00551572" w:rsidP="00DE372B">
      <w:pPr>
        <w:pStyle w:val="ListParagraph"/>
        <w:widowControl/>
        <w:numPr>
          <w:ilvl w:val="0"/>
          <w:numId w:val="4"/>
        </w:numPr>
        <w:autoSpaceDE/>
        <w:autoSpaceDN/>
        <w:ind w:left="540"/>
        <w:contextualSpacing w:val="0"/>
        <w:rPr>
          <w:rFonts w:eastAsia="Times New Roman"/>
          <w:color w:val="1A1A1A"/>
          <w:sz w:val="24"/>
          <w:szCs w:val="24"/>
        </w:rPr>
      </w:pPr>
      <w:r w:rsidRPr="00A55730">
        <w:rPr>
          <w:rFonts w:eastAsia="Times New Roman"/>
          <w:color w:val="1A1A1A"/>
          <w:sz w:val="24"/>
          <w:szCs w:val="24"/>
        </w:rPr>
        <w:t>A discipline process under the Student Charter of Rights and Responsibilities.</w:t>
      </w:r>
    </w:p>
    <w:p w14:paraId="4CC926B1" w14:textId="77777777" w:rsidR="00551572" w:rsidRPr="00A55730" w:rsidRDefault="00551572" w:rsidP="00DE372B">
      <w:pPr>
        <w:pStyle w:val="ListParagraph"/>
        <w:widowControl/>
        <w:numPr>
          <w:ilvl w:val="0"/>
          <w:numId w:val="4"/>
        </w:numPr>
        <w:autoSpaceDE/>
        <w:autoSpaceDN/>
        <w:ind w:left="540"/>
        <w:contextualSpacing w:val="0"/>
        <w:rPr>
          <w:rFonts w:eastAsia="Times New Roman"/>
          <w:color w:val="1A1A1A"/>
          <w:sz w:val="24"/>
          <w:szCs w:val="24"/>
        </w:rPr>
      </w:pPr>
      <w:r w:rsidRPr="00A55730">
        <w:rPr>
          <w:rFonts w:eastAsia="Times New Roman"/>
          <w:color w:val="1A1A1A"/>
          <w:sz w:val="24"/>
          <w:szCs w:val="24"/>
        </w:rPr>
        <w:t xml:space="preserve">Another process as appropriate. </w:t>
      </w:r>
    </w:p>
    <w:p w14:paraId="5BDE2EE3" w14:textId="77777777" w:rsidR="00551572" w:rsidRPr="00A55730" w:rsidRDefault="00551572" w:rsidP="00DE372B">
      <w:pPr>
        <w:ind w:left="90"/>
        <w:rPr>
          <w:rFonts w:eastAsiaTheme="minorHAnsi"/>
          <w:color w:val="1A1A1A"/>
          <w:sz w:val="24"/>
          <w:szCs w:val="24"/>
        </w:rPr>
      </w:pPr>
    </w:p>
    <w:p w14:paraId="6EF37E0B" w14:textId="606208DB" w:rsidR="00551572" w:rsidRPr="00A55730" w:rsidRDefault="00551572" w:rsidP="00DE372B">
      <w:pPr>
        <w:spacing w:after="240"/>
        <w:ind w:left="90"/>
        <w:rPr>
          <w:color w:val="1A1A1A"/>
          <w:sz w:val="24"/>
          <w:szCs w:val="24"/>
        </w:rPr>
      </w:pPr>
      <w:r w:rsidRPr="00A55730">
        <w:rPr>
          <w:color w:val="1A1A1A"/>
          <w:sz w:val="24"/>
          <w:szCs w:val="24"/>
        </w:rPr>
        <w:t>Complainants are expected to file their complaints as soon as possible after the incident(s).  Complainants who are unclear as to how to proceed with their complaint should contact</w:t>
      </w:r>
      <w:r>
        <w:rPr>
          <w:color w:val="1A1A1A"/>
          <w:sz w:val="24"/>
          <w:szCs w:val="24"/>
        </w:rPr>
        <w:t xml:space="preserve"> the Executive Director in the President’s office</w:t>
      </w:r>
      <w:r w:rsidRPr="00A55730">
        <w:rPr>
          <w:color w:val="1A1A1A"/>
          <w:sz w:val="24"/>
          <w:szCs w:val="24"/>
        </w:rPr>
        <w:t xml:space="preserve"> for assistance. </w:t>
      </w:r>
    </w:p>
    <w:p w14:paraId="434E7B9E" w14:textId="77777777" w:rsidR="0082109E" w:rsidRDefault="00551572" w:rsidP="00DE372B">
      <w:pPr>
        <w:ind w:left="90"/>
        <w:rPr>
          <w:color w:val="1A1A1A"/>
          <w:sz w:val="24"/>
          <w:szCs w:val="24"/>
        </w:rPr>
      </w:pPr>
      <w:r w:rsidRPr="00A55730">
        <w:rPr>
          <w:color w:val="1A1A1A"/>
          <w:sz w:val="24"/>
          <w:szCs w:val="24"/>
        </w:rPr>
        <w:t>Trent University will make every effort to investigate the complaint within 30 days. When complaints raising free speech rights cannot be resolved internally, complainants may refer them to the Office of the Ontario Ombudsman</w:t>
      </w:r>
      <w:r w:rsidR="0082109E">
        <w:rPr>
          <w:color w:val="1A1A1A"/>
          <w:sz w:val="24"/>
          <w:szCs w:val="24"/>
        </w:rPr>
        <w:t>.</w:t>
      </w:r>
      <w:bookmarkStart w:id="1" w:name="Free_Speech_Processes"/>
      <w:bookmarkStart w:id="2" w:name="Collective_Agreements"/>
      <w:bookmarkEnd w:id="1"/>
      <w:bookmarkEnd w:id="2"/>
    </w:p>
    <w:p w14:paraId="6EDE95D8" w14:textId="77777777" w:rsidR="0082109E" w:rsidRDefault="0082109E" w:rsidP="00DE372B">
      <w:pPr>
        <w:ind w:left="90"/>
        <w:rPr>
          <w:color w:val="1A1A1A"/>
          <w:sz w:val="24"/>
          <w:szCs w:val="24"/>
        </w:rPr>
      </w:pPr>
    </w:p>
    <w:p w14:paraId="1BE327DD" w14:textId="34E92288" w:rsidR="00C87D43" w:rsidRPr="00751301" w:rsidRDefault="00C87D43" w:rsidP="00DE372B">
      <w:pPr>
        <w:ind w:left="90"/>
        <w:rPr>
          <w:b/>
          <w:bCs/>
          <w:spacing w:val="-2"/>
          <w:sz w:val="24"/>
          <w:szCs w:val="24"/>
          <w:u w:val="single"/>
        </w:rPr>
      </w:pPr>
      <w:r w:rsidRPr="00751301">
        <w:rPr>
          <w:b/>
          <w:bCs/>
          <w:spacing w:val="-2"/>
          <w:sz w:val="24"/>
          <w:szCs w:val="24"/>
          <w:u w:val="single"/>
        </w:rPr>
        <w:t>Contact Officer:</w:t>
      </w:r>
    </w:p>
    <w:p w14:paraId="4777273D" w14:textId="72A415BF" w:rsidR="00C87D43" w:rsidRDefault="00C87D43" w:rsidP="00DE372B">
      <w:pPr>
        <w:pStyle w:val="BodyText"/>
        <w:spacing w:before="21"/>
        <w:ind w:left="90"/>
        <w:rPr>
          <w:spacing w:val="-2"/>
        </w:rPr>
      </w:pPr>
      <w:r>
        <w:rPr>
          <w:spacing w:val="-2"/>
        </w:rPr>
        <w:t>President</w:t>
      </w:r>
    </w:p>
    <w:p w14:paraId="54785FE4" w14:textId="77777777" w:rsidR="00C87D43" w:rsidRDefault="00C87D43" w:rsidP="00DE372B">
      <w:pPr>
        <w:pStyle w:val="BodyText"/>
        <w:spacing w:before="21"/>
        <w:ind w:left="90"/>
        <w:rPr>
          <w:spacing w:val="-2"/>
        </w:rPr>
      </w:pPr>
    </w:p>
    <w:p w14:paraId="0B4CB0B2" w14:textId="001D7A2C" w:rsidR="00C87D43" w:rsidRPr="00C87D43" w:rsidRDefault="00C87D43" w:rsidP="00DE372B">
      <w:pPr>
        <w:pStyle w:val="BodyText"/>
        <w:spacing w:before="21"/>
        <w:ind w:left="90"/>
        <w:rPr>
          <w:b/>
          <w:bCs/>
          <w:spacing w:val="-2"/>
          <w:u w:val="single"/>
        </w:rPr>
      </w:pPr>
      <w:r w:rsidRPr="00C87D43">
        <w:rPr>
          <w:b/>
          <w:bCs/>
          <w:spacing w:val="-2"/>
          <w:u w:val="single"/>
        </w:rPr>
        <w:t>Date for Next Review:</w:t>
      </w:r>
    </w:p>
    <w:p w14:paraId="2F00A377" w14:textId="06FDA955" w:rsidR="00C87D43" w:rsidRDefault="0082109E" w:rsidP="00DE372B">
      <w:pPr>
        <w:pStyle w:val="BodyText"/>
        <w:spacing w:before="21"/>
        <w:ind w:left="90"/>
      </w:pPr>
      <w:r>
        <w:rPr>
          <w:spacing w:val="-2"/>
        </w:rPr>
        <w:t xml:space="preserve">February 2030 </w:t>
      </w:r>
    </w:p>
    <w:p w14:paraId="32553457" w14:textId="77777777" w:rsidR="00C87D43" w:rsidRDefault="00C87D43" w:rsidP="00DE372B">
      <w:pPr>
        <w:ind w:left="90"/>
      </w:pPr>
    </w:p>
    <w:p w14:paraId="6444C193" w14:textId="2616D026" w:rsidR="00C87D43" w:rsidRPr="00C87D43" w:rsidRDefault="00C87D43" w:rsidP="00DE372B">
      <w:pPr>
        <w:ind w:left="90"/>
        <w:rPr>
          <w:b/>
          <w:bCs/>
          <w:sz w:val="24"/>
          <w:szCs w:val="24"/>
          <w:u w:val="single"/>
        </w:rPr>
      </w:pPr>
      <w:r w:rsidRPr="00C87D43">
        <w:rPr>
          <w:b/>
          <w:bCs/>
          <w:sz w:val="24"/>
          <w:szCs w:val="24"/>
          <w:u w:val="single"/>
        </w:rPr>
        <w:t xml:space="preserve">Related Policies, Procedures &amp; Guidelines </w:t>
      </w:r>
    </w:p>
    <w:p w14:paraId="15041FA0" w14:textId="77777777" w:rsidR="00C87D43" w:rsidRPr="00A55730" w:rsidRDefault="00C87D43" w:rsidP="00DE372B">
      <w:pPr>
        <w:pStyle w:val="ListParagraph"/>
        <w:numPr>
          <w:ilvl w:val="0"/>
          <w:numId w:val="2"/>
        </w:numPr>
        <w:tabs>
          <w:tab w:val="left" w:pos="1199"/>
        </w:tabs>
        <w:spacing w:before="25"/>
        <w:ind w:left="540"/>
        <w:contextualSpacing w:val="0"/>
        <w:rPr>
          <w:sz w:val="24"/>
        </w:rPr>
      </w:pPr>
      <w:bookmarkStart w:id="3" w:name="_Hlk182574237"/>
      <w:r>
        <w:rPr>
          <w:sz w:val="24"/>
        </w:rPr>
        <w:t>The</w:t>
      </w:r>
      <w:r>
        <w:rPr>
          <w:spacing w:val="-5"/>
          <w:sz w:val="24"/>
        </w:rPr>
        <w:t xml:space="preserve"> </w:t>
      </w:r>
      <w:r>
        <w:rPr>
          <w:i/>
          <w:iCs/>
          <w:spacing w:val="-5"/>
          <w:sz w:val="24"/>
        </w:rPr>
        <w:t xml:space="preserve">Student </w:t>
      </w:r>
      <w:r w:rsidRPr="00A55730">
        <w:rPr>
          <w:i/>
          <w:iCs/>
          <w:sz w:val="24"/>
        </w:rPr>
        <w:t>Charter</w:t>
      </w:r>
      <w:r w:rsidRPr="00A55730">
        <w:rPr>
          <w:i/>
          <w:iCs/>
          <w:spacing w:val="-4"/>
          <w:sz w:val="24"/>
        </w:rPr>
        <w:t xml:space="preserve"> </w:t>
      </w:r>
      <w:r w:rsidRPr="00A55730">
        <w:rPr>
          <w:i/>
          <w:iCs/>
          <w:sz w:val="24"/>
        </w:rPr>
        <w:t>of</w:t>
      </w:r>
      <w:r w:rsidRPr="00A55730">
        <w:rPr>
          <w:i/>
          <w:iCs/>
          <w:spacing w:val="-2"/>
          <w:sz w:val="24"/>
        </w:rPr>
        <w:t xml:space="preserve"> </w:t>
      </w:r>
      <w:r w:rsidRPr="00A55730">
        <w:rPr>
          <w:i/>
          <w:iCs/>
          <w:sz w:val="24"/>
        </w:rPr>
        <w:t>Rights</w:t>
      </w:r>
      <w:r w:rsidRPr="00A55730">
        <w:rPr>
          <w:i/>
          <w:iCs/>
          <w:spacing w:val="-4"/>
          <w:sz w:val="24"/>
        </w:rPr>
        <w:t xml:space="preserve"> </w:t>
      </w:r>
      <w:r w:rsidRPr="00A55730">
        <w:rPr>
          <w:i/>
          <w:iCs/>
          <w:sz w:val="24"/>
        </w:rPr>
        <w:t>and</w:t>
      </w:r>
      <w:r w:rsidRPr="00A55730">
        <w:rPr>
          <w:i/>
          <w:iCs/>
          <w:spacing w:val="1"/>
          <w:sz w:val="24"/>
        </w:rPr>
        <w:t xml:space="preserve"> </w:t>
      </w:r>
      <w:r w:rsidRPr="00A55730">
        <w:rPr>
          <w:i/>
          <w:iCs/>
          <w:spacing w:val="-2"/>
          <w:sz w:val="24"/>
        </w:rPr>
        <w:t>Responsibilities</w:t>
      </w:r>
    </w:p>
    <w:bookmarkEnd w:id="3"/>
    <w:p w14:paraId="5A3E055B" w14:textId="77777777" w:rsidR="00C87D43" w:rsidRDefault="00C87D43" w:rsidP="00DE372B">
      <w:pPr>
        <w:pStyle w:val="ListParagraph"/>
        <w:numPr>
          <w:ilvl w:val="0"/>
          <w:numId w:val="2"/>
        </w:numPr>
        <w:tabs>
          <w:tab w:val="left" w:pos="1199"/>
        </w:tabs>
        <w:spacing w:before="25"/>
        <w:ind w:left="540"/>
        <w:contextualSpacing w:val="0"/>
        <w:rPr>
          <w:sz w:val="24"/>
        </w:rPr>
      </w:pPr>
      <w:r>
        <w:rPr>
          <w:sz w:val="24"/>
        </w:rPr>
        <w:t>T</w:t>
      </w:r>
      <w:r w:rsidRPr="00482E09">
        <w:rPr>
          <w:sz w:val="24"/>
        </w:rPr>
        <w:t xml:space="preserve">he </w:t>
      </w:r>
      <w:r w:rsidRPr="00A55730">
        <w:rPr>
          <w:i/>
          <w:iCs/>
          <w:sz w:val="24"/>
        </w:rPr>
        <w:t>Discrimination and Harassment Policy</w:t>
      </w:r>
    </w:p>
    <w:p w14:paraId="186051CC" w14:textId="77777777" w:rsidR="00C87D43" w:rsidRDefault="00C87D43" w:rsidP="00DE372B">
      <w:pPr>
        <w:pStyle w:val="ListParagraph"/>
        <w:numPr>
          <w:ilvl w:val="0"/>
          <w:numId w:val="2"/>
        </w:numPr>
        <w:tabs>
          <w:tab w:val="left" w:pos="1199"/>
        </w:tabs>
        <w:spacing w:before="25"/>
        <w:ind w:left="540"/>
        <w:contextualSpacing w:val="0"/>
        <w:rPr>
          <w:sz w:val="24"/>
        </w:rPr>
      </w:pPr>
      <w:r>
        <w:rPr>
          <w:sz w:val="24"/>
        </w:rPr>
        <w:t>T</w:t>
      </w:r>
      <w:r w:rsidRPr="00482E09">
        <w:rPr>
          <w:sz w:val="24"/>
        </w:rPr>
        <w:t xml:space="preserve">he </w:t>
      </w:r>
      <w:r w:rsidRPr="00A55730">
        <w:rPr>
          <w:i/>
          <w:iCs/>
          <w:sz w:val="24"/>
        </w:rPr>
        <w:t>Violence and Harassment Policy</w:t>
      </w:r>
    </w:p>
    <w:p w14:paraId="422EBB80" w14:textId="77777777" w:rsidR="00C87D43" w:rsidRPr="00A55730" w:rsidRDefault="00C87D43" w:rsidP="00DE372B">
      <w:pPr>
        <w:pStyle w:val="ListParagraph"/>
        <w:numPr>
          <w:ilvl w:val="0"/>
          <w:numId w:val="2"/>
        </w:numPr>
        <w:tabs>
          <w:tab w:val="left" w:pos="1199"/>
        </w:tabs>
        <w:spacing w:before="19"/>
        <w:ind w:left="540"/>
        <w:contextualSpacing w:val="0"/>
        <w:rPr>
          <w:sz w:val="24"/>
        </w:rPr>
      </w:pPr>
      <w:r>
        <w:rPr>
          <w:sz w:val="24"/>
        </w:rPr>
        <w:t>Trent University and Trent</w:t>
      </w:r>
      <w:r>
        <w:rPr>
          <w:spacing w:val="-3"/>
          <w:sz w:val="24"/>
        </w:rPr>
        <w:t xml:space="preserve"> </w:t>
      </w:r>
      <w:r>
        <w:rPr>
          <w:sz w:val="24"/>
        </w:rPr>
        <w:t>University</w:t>
      </w:r>
      <w:r>
        <w:rPr>
          <w:spacing w:val="-3"/>
          <w:sz w:val="24"/>
        </w:rPr>
        <w:t xml:space="preserve"> </w:t>
      </w:r>
      <w:r>
        <w:rPr>
          <w:sz w:val="24"/>
        </w:rPr>
        <w:t>Faculty</w:t>
      </w:r>
      <w:r>
        <w:rPr>
          <w:spacing w:val="-5"/>
          <w:sz w:val="24"/>
        </w:rPr>
        <w:t xml:space="preserve"> </w:t>
      </w:r>
      <w:r>
        <w:rPr>
          <w:sz w:val="24"/>
        </w:rPr>
        <w:t>Association</w:t>
      </w:r>
      <w:r>
        <w:rPr>
          <w:spacing w:val="-3"/>
          <w:sz w:val="24"/>
        </w:rPr>
        <w:t xml:space="preserve"> </w:t>
      </w:r>
      <w:r>
        <w:rPr>
          <w:sz w:val="24"/>
        </w:rPr>
        <w:t>(TUFA)</w:t>
      </w:r>
      <w:r>
        <w:rPr>
          <w:spacing w:val="-3"/>
          <w:sz w:val="24"/>
        </w:rPr>
        <w:t xml:space="preserve"> </w:t>
      </w:r>
      <w:r>
        <w:rPr>
          <w:sz w:val="24"/>
        </w:rPr>
        <w:t>Collective</w:t>
      </w:r>
      <w:r>
        <w:rPr>
          <w:spacing w:val="-1"/>
          <w:sz w:val="24"/>
        </w:rPr>
        <w:t xml:space="preserve"> </w:t>
      </w:r>
      <w:r>
        <w:rPr>
          <w:spacing w:val="-2"/>
          <w:sz w:val="24"/>
        </w:rPr>
        <w:t>Agreement</w:t>
      </w:r>
    </w:p>
    <w:p w14:paraId="15DC06C7" w14:textId="77777777" w:rsidR="00C87D43" w:rsidRDefault="00C87D43" w:rsidP="00DE372B">
      <w:pPr>
        <w:pStyle w:val="ListParagraph"/>
        <w:numPr>
          <w:ilvl w:val="0"/>
          <w:numId w:val="2"/>
        </w:numPr>
        <w:tabs>
          <w:tab w:val="left" w:pos="1199"/>
        </w:tabs>
        <w:spacing w:before="19"/>
        <w:ind w:left="540"/>
        <w:contextualSpacing w:val="0"/>
        <w:rPr>
          <w:sz w:val="24"/>
        </w:rPr>
      </w:pPr>
      <w:r>
        <w:rPr>
          <w:sz w:val="24"/>
        </w:rPr>
        <w:t xml:space="preserve">Trent University and CUPE </w:t>
      </w:r>
      <w:r w:rsidRPr="00482E09">
        <w:rPr>
          <w:sz w:val="24"/>
        </w:rPr>
        <w:t>3908, Unit 1</w:t>
      </w:r>
      <w:r>
        <w:rPr>
          <w:sz w:val="24"/>
        </w:rPr>
        <w:t xml:space="preserve"> Collective Agreement</w:t>
      </w:r>
    </w:p>
    <w:p w14:paraId="34FCBBA3" w14:textId="77777777" w:rsidR="00C87D43" w:rsidRDefault="00C87D43" w:rsidP="00DE372B">
      <w:pPr>
        <w:pStyle w:val="ListParagraph"/>
        <w:numPr>
          <w:ilvl w:val="0"/>
          <w:numId w:val="2"/>
        </w:numPr>
        <w:tabs>
          <w:tab w:val="left" w:pos="1199"/>
        </w:tabs>
        <w:spacing w:before="19"/>
        <w:ind w:left="540"/>
        <w:contextualSpacing w:val="0"/>
        <w:rPr>
          <w:sz w:val="24"/>
        </w:rPr>
      </w:pPr>
      <w:r>
        <w:rPr>
          <w:sz w:val="24"/>
        </w:rPr>
        <w:t xml:space="preserve">Trent University and CUPE </w:t>
      </w:r>
      <w:r w:rsidRPr="00482E09">
        <w:rPr>
          <w:sz w:val="24"/>
        </w:rPr>
        <w:t xml:space="preserve">3908, Unit </w:t>
      </w:r>
      <w:r>
        <w:rPr>
          <w:sz w:val="24"/>
        </w:rPr>
        <w:t>2 Collective Agreement</w:t>
      </w:r>
    </w:p>
    <w:p w14:paraId="5EB730A8" w14:textId="77777777" w:rsidR="00C87D43" w:rsidRPr="00A55730" w:rsidRDefault="00C87D43" w:rsidP="00DE372B">
      <w:pPr>
        <w:pStyle w:val="ListParagraph"/>
        <w:tabs>
          <w:tab w:val="left" w:pos="1199"/>
        </w:tabs>
        <w:ind w:left="90"/>
        <w:rPr>
          <w:sz w:val="24"/>
        </w:rPr>
      </w:pPr>
    </w:p>
    <w:p w14:paraId="10CB2727" w14:textId="543C467A" w:rsidR="00C87D43" w:rsidRPr="00C87D43" w:rsidRDefault="00C87D43" w:rsidP="00DE372B">
      <w:pPr>
        <w:ind w:left="90"/>
        <w:rPr>
          <w:b/>
          <w:bCs/>
          <w:sz w:val="24"/>
          <w:szCs w:val="24"/>
          <w:u w:val="single"/>
        </w:rPr>
      </w:pPr>
      <w:r w:rsidRPr="00C87D43">
        <w:rPr>
          <w:b/>
          <w:bCs/>
          <w:sz w:val="24"/>
          <w:szCs w:val="24"/>
          <w:u w:val="single"/>
        </w:rPr>
        <w:t xml:space="preserve">Policies Superseded by This Policy </w:t>
      </w:r>
    </w:p>
    <w:p w14:paraId="0D3A8BBE" w14:textId="77777777" w:rsidR="00C87D43" w:rsidRDefault="00C87D43" w:rsidP="00DE372B">
      <w:pPr>
        <w:pStyle w:val="ListParagraph"/>
        <w:numPr>
          <w:ilvl w:val="0"/>
          <w:numId w:val="1"/>
        </w:numPr>
        <w:tabs>
          <w:tab w:val="left" w:pos="1199"/>
        </w:tabs>
        <w:spacing w:before="21"/>
        <w:ind w:left="540" w:hanging="359"/>
        <w:contextualSpacing w:val="0"/>
        <w:rPr>
          <w:sz w:val="24"/>
        </w:rPr>
      </w:pPr>
      <w:r>
        <w:rPr>
          <w:spacing w:val="-5"/>
          <w:sz w:val="24"/>
        </w:rPr>
        <w:t>N/A</w:t>
      </w:r>
    </w:p>
    <w:p w14:paraId="403470A0" w14:textId="77777777" w:rsidR="001B4725" w:rsidRDefault="001B4725"/>
    <w:sectPr w:rsidR="001B4725" w:rsidSect="00751301">
      <w:footerReference w:type="default" r:id="rId8"/>
      <w:pgSz w:w="11920" w:h="16860"/>
      <w:pgMar w:top="1440" w:right="1440" w:bottom="1440" w:left="1440" w:header="0" w:footer="10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7FE46" w14:textId="77777777" w:rsidR="00751301" w:rsidRDefault="00751301">
      <w:r>
        <w:separator/>
      </w:r>
    </w:p>
  </w:endnote>
  <w:endnote w:type="continuationSeparator" w:id="0">
    <w:p w14:paraId="64179320" w14:textId="77777777" w:rsidR="00751301" w:rsidRDefault="0075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2A47D" w14:textId="190FFB5B" w:rsidR="00C87D43" w:rsidRDefault="00C87D43">
    <w:pPr>
      <w:pStyle w:val="BodyText"/>
      <w:spacing w:before="0" w:line="14" w:lineRule="auto"/>
      <w:ind w:left="0"/>
      <w:rPr>
        <w:sz w:val="20"/>
      </w:rPr>
    </w:pPr>
    <w:r>
      <w:rPr>
        <w:noProof/>
      </w:rPr>
      <mc:AlternateContent>
        <mc:Choice Requires="wps">
          <w:drawing>
            <wp:anchor distT="0" distB="0" distL="0" distR="0" simplePos="0" relativeHeight="251659264" behindDoc="1" locked="0" layoutInCell="1" allowOverlap="1" wp14:anchorId="6653F08D" wp14:editId="1E3A3D71">
              <wp:simplePos x="0" y="0"/>
              <wp:positionH relativeFrom="page">
                <wp:posOffset>3419475</wp:posOffset>
              </wp:positionH>
              <wp:positionV relativeFrom="page">
                <wp:posOffset>10003790</wp:posOffset>
              </wp:positionV>
              <wp:extent cx="710565" cy="177800"/>
              <wp:effectExtent l="0" t="0" r="0" b="0"/>
              <wp:wrapNone/>
              <wp:docPr id="12355429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0565" cy="177800"/>
                      </a:xfrm>
                      <a:prstGeom prst="rect">
                        <a:avLst/>
                      </a:prstGeom>
                    </wps:spPr>
                    <wps:txbx>
                      <w:txbxContent>
                        <w:p w14:paraId="076C76B5" w14:textId="77777777" w:rsidR="00C87D43" w:rsidRDefault="00C87D43">
                          <w:pPr>
                            <w:spacing w:line="264" w:lineRule="exact"/>
                            <w:ind w:left="20"/>
                            <w:rPr>
                              <w:b/>
                              <w:sz w:val="24"/>
                            </w:rPr>
                          </w:pPr>
                          <w:r>
                            <w:rPr>
                              <w:sz w:val="24"/>
                            </w:rPr>
                            <w:t xml:space="preserve">Page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pacing w:val="-1"/>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2</w:t>
                          </w:r>
                          <w:r>
                            <w:rPr>
                              <w:b/>
                              <w:spacing w:val="-10"/>
                              <w:sz w:val="24"/>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6653F08D" id="_x0000_t202" coordsize="21600,21600" o:spt="202" path="m,l,21600r21600,l21600,xe">
              <v:stroke joinstyle="miter"/>
              <v:path gradientshapeok="t" o:connecttype="rect"/>
            </v:shapetype>
            <v:shape id="Text Box 1" o:spid="_x0000_s1026" type="#_x0000_t202" style="position:absolute;margin-left:269.25pt;margin-top:787.7pt;width:55.95pt;height:1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MlAEAABoDAAAOAAAAZHJzL2Uyb0RvYy54bWysUsFu2zAMvQ/oPwi6N3IKtCmMOMXWYsOA&#10;YhvQ7QMUWYqNWaJKKrHz96NUJxm227ALRUnU43uPWj9MfhAHi9RDaORyUUlhg4G2D7tG/vj+8fpe&#10;Cko6tHqAYBt5tCQfNlfv1mOs7Q10MLQWBYMEqsfYyC6lWCtFprNe0wKiDXzpAL1OvMWdalGPjO4H&#10;dVNVd2oEbCOCsUR8+vR2KTcF3zlr0lfnyCYxNJK5pRKxxG2OarPW9Q517Hoz09D/wMLrPnDTM9ST&#10;Tlrssf8LyvcGgcClhQGvwLne2KKB1SyrP9S8dDraooXNoXi2if4frPlyeInfUKTpA0w8wCKC4jOY&#10;n8TeqDFSPddkT6kmrs5CJ4c+ryxB8EP29nj2005JGD5cLavbu1spDF8tV6v7qvitLo8jUvpkwYuc&#10;NBJ5XIWAPjxTyu11fSqZuby1z0TStJ24JKdbaI+sYeQxNpJe9xqtFMPnwD7lmZ8SPCXbU4JpeITy&#10;M7KUAO/3CVxfOl9w5848gEJo/ix5wr/vS9XlS29+AQAA//8DAFBLAwQUAAYACAAAACEAz6+1IOEA&#10;AAANAQAADwAAAGRycy9kb3ducmV2LnhtbEyPwU7DMBBE70j8g7VI3KgNrUMJcaoKwQkJkYYDRyd2&#10;E6vxOsRuG/6e5QS33Z3R7JtiM/uBnewUXUAFtwsBzGIbjMNOwUf9crMGFpNGo4eAVsG3jbApLy8K&#10;nZtwxsqedqljFIIx1wr6lMac89j21uu4CKNF0vZh8jrROnXcTPpM4X7gd0Jk3GuH9KHXo33qbXvY&#10;Hb2C7SdWz+7rrXmv9pWr6weBr9lBqeurefsILNk5/ZnhF5/QoSSmJhzRRDYokMu1JCsJ8l6ugJEl&#10;k4KGhk6ZWK6AlwX/36L8AQAA//8DAFBLAQItABQABgAIAAAAIQC2gziS/gAAAOEBAAATAAAAAAAA&#10;AAAAAAAAAAAAAABbQ29udGVudF9UeXBlc10ueG1sUEsBAi0AFAAGAAgAAAAhADj9If/WAAAAlAEA&#10;AAsAAAAAAAAAAAAAAAAALwEAAF9yZWxzLy5yZWxzUEsBAi0AFAAGAAgAAAAhAO1Hn4yUAQAAGgMA&#10;AA4AAAAAAAAAAAAAAAAALgIAAGRycy9lMm9Eb2MueG1sUEsBAi0AFAAGAAgAAAAhAM+vtSDhAAAA&#10;DQEAAA8AAAAAAAAAAAAAAAAA7gMAAGRycy9kb3ducmV2LnhtbFBLBQYAAAAABAAEAPMAAAD8BAAA&#10;AAA=&#10;" filled="f" stroked="f">
              <v:textbox inset="0,0,0,0">
                <w:txbxContent>
                  <w:p w14:paraId="076C76B5" w14:textId="77777777" w:rsidR="00C87D43" w:rsidRDefault="00C87D43">
                    <w:pPr>
                      <w:spacing w:line="264" w:lineRule="exact"/>
                      <w:ind w:left="20"/>
                      <w:rPr>
                        <w:b/>
                        <w:sz w:val="24"/>
                      </w:rPr>
                    </w:pPr>
                    <w:r>
                      <w:rPr>
                        <w:sz w:val="24"/>
                      </w:rPr>
                      <w:t xml:space="preserve">Page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pacing w:val="-1"/>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2</w:t>
                    </w:r>
                    <w:r>
                      <w:rPr>
                        <w:b/>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EE221" w14:textId="77777777" w:rsidR="00751301" w:rsidRDefault="00751301">
      <w:r>
        <w:separator/>
      </w:r>
    </w:p>
  </w:footnote>
  <w:footnote w:type="continuationSeparator" w:id="0">
    <w:p w14:paraId="1F8B9BE6" w14:textId="77777777" w:rsidR="00751301" w:rsidRDefault="00751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61F00"/>
    <w:multiLevelType w:val="hybridMultilevel"/>
    <w:tmpl w:val="0590E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4D02CF7"/>
    <w:multiLevelType w:val="hybridMultilevel"/>
    <w:tmpl w:val="66FC6B1A"/>
    <w:lvl w:ilvl="0" w:tplc="327C4666">
      <w:start w:val="1"/>
      <w:numFmt w:val="lowerLetter"/>
      <w:lvlText w:val="%1)"/>
      <w:lvlJc w:val="left"/>
      <w:pPr>
        <w:ind w:left="1200" w:hanging="360"/>
        <w:jc w:val="left"/>
      </w:pPr>
      <w:rPr>
        <w:rFonts w:ascii="Calibri" w:eastAsia="Calibri" w:hAnsi="Calibri" w:cs="Calibri" w:hint="default"/>
        <w:b w:val="0"/>
        <w:bCs w:val="0"/>
        <w:i w:val="0"/>
        <w:iCs w:val="0"/>
        <w:spacing w:val="0"/>
        <w:w w:val="100"/>
        <w:sz w:val="24"/>
        <w:szCs w:val="24"/>
        <w:lang w:val="en-US" w:eastAsia="en-US" w:bidi="ar-SA"/>
      </w:rPr>
    </w:lvl>
    <w:lvl w:ilvl="1" w:tplc="0C80080E">
      <w:numFmt w:val="bullet"/>
      <w:lvlText w:val="•"/>
      <w:lvlJc w:val="left"/>
      <w:pPr>
        <w:ind w:left="2097" w:hanging="360"/>
      </w:pPr>
      <w:rPr>
        <w:rFonts w:hint="default"/>
        <w:lang w:val="en-US" w:eastAsia="en-US" w:bidi="ar-SA"/>
      </w:rPr>
    </w:lvl>
    <w:lvl w:ilvl="2" w:tplc="757E02FA">
      <w:numFmt w:val="bullet"/>
      <w:lvlText w:val="•"/>
      <w:lvlJc w:val="left"/>
      <w:pPr>
        <w:ind w:left="2994" w:hanging="360"/>
      </w:pPr>
      <w:rPr>
        <w:rFonts w:hint="default"/>
        <w:lang w:val="en-US" w:eastAsia="en-US" w:bidi="ar-SA"/>
      </w:rPr>
    </w:lvl>
    <w:lvl w:ilvl="3" w:tplc="99CE24BE">
      <w:numFmt w:val="bullet"/>
      <w:lvlText w:val="•"/>
      <w:lvlJc w:val="left"/>
      <w:pPr>
        <w:ind w:left="3891" w:hanging="360"/>
      </w:pPr>
      <w:rPr>
        <w:rFonts w:hint="default"/>
        <w:lang w:val="en-US" w:eastAsia="en-US" w:bidi="ar-SA"/>
      </w:rPr>
    </w:lvl>
    <w:lvl w:ilvl="4" w:tplc="E5162DB4">
      <w:numFmt w:val="bullet"/>
      <w:lvlText w:val="•"/>
      <w:lvlJc w:val="left"/>
      <w:pPr>
        <w:ind w:left="4788" w:hanging="360"/>
      </w:pPr>
      <w:rPr>
        <w:rFonts w:hint="default"/>
        <w:lang w:val="en-US" w:eastAsia="en-US" w:bidi="ar-SA"/>
      </w:rPr>
    </w:lvl>
    <w:lvl w:ilvl="5" w:tplc="B4D4D97E">
      <w:numFmt w:val="bullet"/>
      <w:lvlText w:val="•"/>
      <w:lvlJc w:val="left"/>
      <w:pPr>
        <w:ind w:left="5685" w:hanging="360"/>
      </w:pPr>
      <w:rPr>
        <w:rFonts w:hint="default"/>
        <w:lang w:val="en-US" w:eastAsia="en-US" w:bidi="ar-SA"/>
      </w:rPr>
    </w:lvl>
    <w:lvl w:ilvl="6" w:tplc="403A56E6">
      <w:numFmt w:val="bullet"/>
      <w:lvlText w:val="•"/>
      <w:lvlJc w:val="left"/>
      <w:pPr>
        <w:ind w:left="6582" w:hanging="360"/>
      </w:pPr>
      <w:rPr>
        <w:rFonts w:hint="default"/>
        <w:lang w:val="en-US" w:eastAsia="en-US" w:bidi="ar-SA"/>
      </w:rPr>
    </w:lvl>
    <w:lvl w:ilvl="7" w:tplc="305A463E">
      <w:numFmt w:val="bullet"/>
      <w:lvlText w:val="•"/>
      <w:lvlJc w:val="left"/>
      <w:pPr>
        <w:ind w:left="7479" w:hanging="360"/>
      </w:pPr>
      <w:rPr>
        <w:rFonts w:hint="default"/>
        <w:lang w:val="en-US" w:eastAsia="en-US" w:bidi="ar-SA"/>
      </w:rPr>
    </w:lvl>
    <w:lvl w:ilvl="8" w:tplc="4F90BDF6">
      <w:numFmt w:val="bullet"/>
      <w:lvlText w:val="•"/>
      <w:lvlJc w:val="left"/>
      <w:pPr>
        <w:ind w:left="8376" w:hanging="360"/>
      </w:pPr>
      <w:rPr>
        <w:rFonts w:hint="default"/>
        <w:lang w:val="en-US" w:eastAsia="en-US" w:bidi="ar-SA"/>
      </w:rPr>
    </w:lvl>
  </w:abstractNum>
  <w:abstractNum w:abstractNumId="2" w15:restartNumberingAfterBreak="0">
    <w:nsid w:val="56B6544A"/>
    <w:multiLevelType w:val="hybridMultilevel"/>
    <w:tmpl w:val="BAC835EC"/>
    <w:lvl w:ilvl="0" w:tplc="1402FBC0">
      <w:start w:val="1"/>
      <w:numFmt w:val="lowerLetter"/>
      <w:lvlText w:val="%1)"/>
      <w:lvlJc w:val="left"/>
      <w:pPr>
        <w:ind w:left="1200" w:hanging="360"/>
        <w:jc w:val="left"/>
      </w:pPr>
      <w:rPr>
        <w:rFonts w:ascii="Calibri" w:eastAsia="Calibri" w:hAnsi="Calibri" w:cs="Calibri" w:hint="default"/>
        <w:b w:val="0"/>
        <w:bCs w:val="0"/>
        <w:i w:val="0"/>
        <w:iCs w:val="0"/>
        <w:spacing w:val="0"/>
        <w:w w:val="100"/>
        <w:sz w:val="24"/>
        <w:szCs w:val="24"/>
        <w:lang w:val="en-US" w:eastAsia="en-US" w:bidi="ar-SA"/>
      </w:rPr>
    </w:lvl>
    <w:lvl w:ilvl="1" w:tplc="BC8A9EF2">
      <w:numFmt w:val="bullet"/>
      <w:lvlText w:val="•"/>
      <w:lvlJc w:val="left"/>
      <w:pPr>
        <w:ind w:left="2097" w:hanging="360"/>
      </w:pPr>
      <w:rPr>
        <w:rFonts w:hint="default"/>
        <w:lang w:val="en-US" w:eastAsia="en-US" w:bidi="ar-SA"/>
      </w:rPr>
    </w:lvl>
    <w:lvl w:ilvl="2" w:tplc="4A7011D4">
      <w:numFmt w:val="bullet"/>
      <w:lvlText w:val="•"/>
      <w:lvlJc w:val="left"/>
      <w:pPr>
        <w:ind w:left="2994" w:hanging="360"/>
      </w:pPr>
      <w:rPr>
        <w:rFonts w:hint="default"/>
        <w:lang w:val="en-US" w:eastAsia="en-US" w:bidi="ar-SA"/>
      </w:rPr>
    </w:lvl>
    <w:lvl w:ilvl="3" w:tplc="31D2A744">
      <w:numFmt w:val="bullet"/>
      <w:lvlText w:val="•"/>
      <w:lvlJc w:val="left"/>
      <w:pPr>
        <w:ind w:left="3891" w:hanging="360"/>
      </w:pPr>
      <w:rPr>
        <w:rFonts w:hint="default"/>
        <w:lang w:val="en-US" w:eastAsia="en-US" w:bidi="ar-SA"/>
      </w:rPr>
    </w:lvl>
    <w:lvl w:ilvl="4" w:tplc="504CF7C0">
      <w:numFmt w:val="bullet"/>
      <w:lvlText w:val="•"/>
      <w:lvlJc w:val="left"/>
      <w:pPr>
        <w:ind w:left="4788" w:hanging="360"/>
      </w:pPr>
      <w:rPr>
        <w:rFonts w:hint="default"/>
        <w:lang w:val="en-US" w:eastAsia="en-US" w:bidi="ar-SA"/>
      </w:rPr>
    </w:lvl>
    <w:lvl w:ilvl="5" w:tplc="166C7630">
      <w:numFmt w:val="bullet"/>
      <w:lvlText w:val="•"/>
      <w:lvlJc w:val="left"/>
      <w:pPr>
        <w:ind w:left="5685" w:hanging="360"/>
      </w:pPr>
      <w:rPr>
        <w:rFonts w:hint="default"/>
        <w:lang w:val="en-US" w:eastAsia="en-US" w:bidi="ar-SA"/>
      </w:rPr>
    </w:lvl>
    <w:lvl w:ilvl="6" w:tplc="6910E644">
      <w:numFmt w:val="bullet"/>
      <w:lvlText w:val="•"/>
      <w:lvlJc w:val="left"/>
      <w:pPr>
        <w:ind w:left="6582" w:hanging="360"/>
      </w:pPr>
      <w:rPr>
        <w:rFonts w:hint="default"/>
        <w:lang w:val="en-US" w:eastAsia="en-US" w:bidi="ar-SA"/>
      </w:rPr>
    </w:lvl>
    <w:lvl w:ilvl="7" w:tplc="7EA6181E">
      <w:numFmt w:val="bullet"/>
      <w:lvlText w:val="•"/>
      <w:lvlJc w:val="left"/>
      <w:pPr>
        <w:ind w:left="7479" w:hanging="360"/>
      </w:pPr>
      <w:rPr>
        <w:rFonts w:hint="default"/>
        <w:lang w:val="en-US" w:eastAsia="en-US" w:bidi="ar-SA"/>
      </w:rPr>
    </w:lvl>
    <w:lvl w:ilvl="8" w:tplc="A16AC796">
      <w:numFmt w:val="bullet"/>
      <w:lvlText w:val="•"/>
      <w:lvlJc w:val="left"/>
      <w:pPr>
        <w:ind w:left="8376" w:hanging="360"/>
      </w:pPr>
      <w:rPr>
        <w:rFonts w:hint="default"/>
        <w:lang w:val="en-US" w:eastAsia="en-US" w:bidi="ar-SA"/>
      </w:rPr>
    </w:lvl>
  </w:abstractNum>
  <w:abstractNum w:abstractNumId="3" w15:restartNumberingAfterBreak="0">
    <w:nsid w:val="72421951"/>
    <w:multiLevelType w:val="hybridMultilevel"/>
    <w:tmpl w:val="E4A8B19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num w:numId="1" w16cid:durableId="2120224733">
    <w:abstractNumId w:val="1"/>
  </w:num>
  <w:num w:numId="2" w16cid:durableId="2088336009">
    <w:abstractNumId w:val="2"/>
  </w:num>
  <w:num w:numId="3" w16cid:durableId="1394156438">
    <w:abstractNumId w:val="0"/>
  </w:num>
  <w:num w:numId="4" w16cid:durableId="1472602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43"/>
    <w:rsid w:val="000562FE"/>
    <w:rsid w:val="001B4725"/>
    <w:rsid w:val="002640F1"/>
    <w:rsid w:val="003C7D14"/>
    <w:rsid w:val="00551572"/>
    <w:rsid w:val="00751301"/>
    <w:rsid w:val="00755AF5"/>
    <w:rsid w:val="0082109E"/>
    <w:rsid w:val="008662C2"/>
    <w:rsid w:val="00AF7468"/>
    <w:rsid w:val="00C87D43"/>
    <w:rsid w:val="00DE372B"/>
    <w:rsid w:val="00FE1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F68EE"/>
  <w15:chartTrackingRefBased/>
  <w15:docId w15:val="{48798ED8-0233-4879-AA13-C4E2CA7E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D43"/>
    <w:pPr>
      <w:widowControl w:val="0"/>
      <w:autoSpaceDE w:val="0"/>
      <w:autoSpaceDN w:val="0"/>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C87D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87D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7D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7D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7D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7D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7D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7D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7D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D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7D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7D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7D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7D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7D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D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D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D43"/>
    <w:rPr>
      <w:rFonts w:eastAsiaTheme="majorEastAsia" w:cstheme="majorBidi"/>
      <w:color w:val="272727" w:themeColor="text1" w:themeTint="D8"/>
    </w:rPr>
  </w:style>
  <w:style w:type="paragraph" w:styleId="Title">
    <w:name w:val="Title"/>
    <w:basedOn w:val="Normal"/>
    <w:next w:val="Normal"/>
    <w:link w:val="TitleChar"/>
    <w:uiPriority w:val="10"/>
    <w:qFormat/>
    <w:rsid w:val="00C87D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D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D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7D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D43"/>
    <w:pPr>
      <w:spacing w:before="160"/>
      <w:jc w:val="center"/>
    </w:pPr>
    <w:rPr>
      <w:i/>
      <w:iCs/>
      <w:color w:val="404040" w:themeColor="text1" w:themeTint="BF"/>
    </w:rPr>
  </w:style>
  <w:style w:type="character" w:customStyle="1" w:styleId="QuoteChar">
    <w:name w:val="Quote Char"/>
    <w:basedOn w:val="DefaultParagraphFont"/>
    <w:link w:val="Quote"/>
    <w:uiPriority w:val="29"/>
    <w:rsid w:val="00C87D43"/>
    <w:rPr>
      <w:i/>
      <w:iCs/>
      <w:color w:val="404040" w:themeColor="text1" w:themeTint="BF"/>
    </w:rPr>
  </w:style>
  <w:style w:type="paragraph" w:styleId="ListParagraph">
    <w:name w:val="List Paragraph"/>
    <w:basedOn w:val="Normal"/>
    <w:uiPriority w:val="34"/>
    <w:qFormat/>
    <w:rsid w:val="00C87D43"/>
    <w:pPr>
      <w:ind w:left="720"/>
      <w:contextualSpacing/>
    </w:pPr>
  </w:style>
  <w:style w:type="character" w:styleId="IntenseEmphasis">
    <w:name w:val="Intense Emphasis"/>
    <w:basedOn w:val="DefaultParagraphFont"/>
    <w:uiPriority w:val="21"/>
    <w:qFormat/>
    <w:rsid w:val="00C87D43"/>
    <w:rPr>
      <w:i/>
      <w:iCs/>
      <w:color w:val="2F5496" w:themeColor="accent1" w:themeShade="BF"/>
    </w:rPr>
  </w:style>
  <w:style w:type="paragraph" w:styleId="IntenseQuote">
    <w:name w:val="Intense Quote"/>
    <w:basedOn w:val="Normal"/>
    <w:next w:val="Normal"/>
    <w:link w:val="IntenseQuoteChar"/>
    <w:uiPriority w:val="30"/>
    <w:qFormat/>
    <w:rsid w:val="00C87D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7D43"/>
    <w:rPr>
      <w:i/>
      <w:iCs/>
      <w:color w:val="2F5496" w:themeColor="accent1" w:themeShade="BF"/>
    </w:rPr>
  </w:style>
  <w:style w:type="character" w:styleId="IntenseReference">
    <w:name w:val="Intense Reference"/>
    <w:basedOn w:val="DefaultParagraphFont"/>
    <w:uiPriority w:val="32"/>
    <w:qFormat/>
    <w:rsid w:val="00C87D43"/>
    <w:rPr>
      <w:b/>
      <w:bCs/>
      <w:smallCaps/>
      <w:color w:val="2F5496" w:themeColor="accent1" w:themeShade="BF"/>
      <w:spacing w:val="5"/>
    </w:rPr>
  </w:style>
  <w:style w:type="paragraph" w:styleId="BodyText">
    <w:name w:val="Body Text"/>
    <w:basedOn w:val="Normal"/>
    <w:link w:val="BodyTextChar"/>
    <w:uiPriority w:val="1"/>
    <w:qFormat/>
    <w:rsid w:val="00C87D43"/>
    <w:pPr>
      <w:spacing w:before="158"/>
      <w:ind w:left="120"/>
    </w:pPr>
    <w:rPr>
      <w:sz w:val="24"/>
      <w:szCs w:val="24"/>
    </w:rPr>
  </w:style>
  <w:style w:type="character" w:customStyle="1" w:styleId="BodyTextChar">
    <w:name w:val="Body Text Char"/>
    <w:basedOn w:val="DefaultParagraphFont"/>
    <w:link w:val="BodyText"/>
    <w:uiPriority w:val="1"/>
    <w:rsid w:val="00C87D43"/>
    <w:rPr>
      <w:rFonts w:ascii="Calibri" w:eastAsia="Calibri" w:hAnsi="Calibri" w:cs="Calibri"/>
      <w:sz w:val="24"/>
      <w:szCs w:val="24"/>
    </w:rPr>
  </w:style>
  <w:style w:type="paragraph" w:styleId="Header">
    <w:name w:val="header"/>
    <w:basedOn w:val="Normal"/>
    <w:link w:val="HeaderChar"/>
    <w:uiPriority w:val="99"/>
    <w:unhideWhenUsed/>
    <w:rsid w:val="0082109E"/>
    <w:pPr>
      <w:tabs>
        <w:tab w:val="center" w:pos="4680"/>
        <w:tab w:val="right" w:pos="9360"/>
      </w:tabs>
    </w:pPr>
  </w:style>
  <w:style w:type="character" w:customStyle="1" w:styleId="HeaderChar">
    <w:name w:val="Header Char"/>
    <w:basedOn w:val="DefaultParagraphFont"/>
    <w:link w:val="Header"/>
    <w:uiPriority w:val="99"/>
    <w:rsid w:val="0082109E"/>
    <w:rPr>
      <w:rFonts w:ascii="Calibri" w:eastAsia="Calibri" w:hAnsi="Calibri" w:cs="Calibri"/>
    </w:rPr>
  </w:style>
  <w:style w:type="paragraph" w:styleId="Footer">
    <w:name w:val="footer"/>
    <w:basedOn w:val="Normal"/>
    <w:link w:val="FooterChar"/>
    <w:uiPriority w:val="99"/>
    <w:unhideWhenUsed/>
    <w:rsid w:val="0082109E"/>
    <w:pPr>
      <w:tabs>
        <w:tab w:val="center" w:pos="4680"/>
        <w:tab w:val="right" w:pos="9360"/>
      </w:tabs>
    </w:pPr>
  </w:style>
  <w:style w:type="character" w:customStyle="1" w:styleId="FooterChar">
    <w:name w:val="Footer Char"/>
    <w:basedOn w:val="DefaultParagraphFont"/>
    <w:link w:val="Footer"/>
    <w:uiPriority w:val="99"/>
    <w:rsid w:val="0082109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989</Words>
  <Characters>5809</Characters>
  <Application>Microsoft Office Word</Application>
  <DocSecurity>0</DocSecurity>
  <Lines>114</Lines>
  <Paragraphs>45</Paragraphs>
  <ScaleCrop>false</ScaleCrop>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Ngina Kibathi</dc:creator>
  <cp:keywords/>
  <dc:description/>
  <cp:lastModifiedBy>Richelle Hall</cp:lastModifiedBy>
  <cp:revision>7</cp:revision>
  <dcterms:created xsi:type="dcterms:W3CDTF">2024-11-25T22:30:00Z</dcterms:created>
  <dcterms:modified xsi:type="dcterms:W3CDTF">2024-11-27T18:28:00Z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5137ce4d2af8dc5782ab9bdbde068a0e4ceaf48fd482ecde83da370ffb258aaa</vt:lpwstr>
  </property>
</Properties>
</file>